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32"/>
        </w:rPr>
        <w:t>CHAPTER FOUR</w:t>
      </w:r>
    </w:p>
    <w:p>
      <w:pPr>
        <w:pStyle w:val="Heading1"/>
        <w:jc w:val="center"/>
      </w:pPr>
      <w:r>
        <w:rPr>
          <w:rFonts w:ascii="Times New Roman" w:hAnsi="Times New Roman"/>
          <w:b/>
          <w:sz w:val="32"/>
        </w:rPr>
        <w:t>IMPLEMENTATION AND TESTING</w:t>
      </w:r>
    </w:p>
    <w:p>
      <w:pPr/>
    </w:p>
    <w:p>
      <w:pPr>
        <w:pStyle w:val="Heading1"/>
      </w:pPr>
      <w:r>
        <w:rPr>
          <w:rFonts w:ascii="Times New Roman" w:hAnsi="Times New Roman"/>
          <w:b/>
          <w:sz w:val="32"/>
        </w:rPr>
        <w:t>4.0 Introduction</w:t>
      </w:r>
    </w:p>
    <w:p>
      <w:pPr/>
      <w:r>
        <w:rPr>
          <w:rFonts w:ascii="Times New Roman" w:hAnsi="Times New Roman"/>
          <w:sz w:val="28"/>
        </w:rPr>
        <w:t>This chapter documents the implementation of AgriFlow, the smart-farming artefact designed in Chapter Three. Where Chapter Three described the intended architecture, entity model, technology stack, and security design, this chapter describes what was built and how it behaves. The two chapters share structure so readers can move between a planned decision and its realized counterpart. The chapter opens with a reconciliation of plan and artefact, proceeds module-by-module through every major feature, and closes with three end-to-end demonstration scenarios and an evidenced security-implementation section. All file names and line numbers refer to the source version current at the time of writing.</w:t>
      </w:r>
    </w:p>
    <w:p>
      <w:pPr>
        <w:pStyle w:val="Heading2"/>
      </w:pPr>
      <w:r>
        <w:rPr>
          <w:rFonts w:ascii="Times New Roman" w:hAnsi="Times New Roman"/>
          <w:b/>
          <w:sz w:val="28"/>
        </w:rPr>
        <w:t>4.1 Reconciliation with the Chapter Three Design</w:t>
      </w:r>
    </w:p>
    <w:p>
      <w:pPr/>
      <w:r>
        <w:rPr>
          <w:rFonts w:ascii="Times New Roman" w:hAnsi="Times New Roman"/>
          <w:sz w:val="28"/>
        </w:rPr>
        <w:t>The delivered artefact implements the five planned layers — presentation, state, service, persistence, and the shadow service-worker — exactly as specified; layer boundaries, module names, and key files match the architecture diagram of Figure 3.2. The entity set from the Chapter Three ER diagram is preserved verbatim in types.ts and stored under the namespaced keys declared in services/persistence.ts. Three honest differences exist, each justified in Table 4.1: (1) React Router replaced with a lightweight hash-based router in FarmContext; (2) WebSocket service for real-time market data replaced with a client-side synthetic price-history generator; (3) Content-Security-Policy meta tag deferred with documented remediation path (Section 4.15.8). Apart from these three items, every element of the planned architecture, entity model, technology stack, and security design is present at the locations stated in Chapter Three.</w:t>
      </w:r>
    </w:p>
    <w:p>
      <w:pPr>
        <w:spacing w:before="40" w:after="80" w:line="360" w:lineRule="auto"/>
        <w:jc w:val="center"/>
      </w:pPr>
      <w:r>
        <w:rPr>
          <w:rFonts w:ascii="Times New Roman" w:hAnsi="Times New Roman"/>
          <w:i/>
          <w:sz w:val="22"/>
        </w:rPr>
        <w:t>Figure 4.1  The app shell rendering the Dashboard route with sidebar, header, online pill, notifications and profile avatar.</w:t>
      </w:r>
    </w:p>
    <w:p>
      <w:pPr>
        <w:pStyle w:val="Heading2"/>
      </w:pPr>
      <w:r>
        <w:rPr>
          <w:rFonts w:ascii="Times New Roman" w:hAnsi="Times New Roman"/>
          <w:b/>
          <w:sz w:val="28"/>
        </w:rPr>
        <w:t>4.2 Module 1: App Shell, Routing and Global Chrome</w:t>
      </w:r>
    </w:p>
    <w:p>
      <w:pPr/>
      <w:r>
        <w:rPr>
          <w:rFonts w:ascii="Times New Roman" w:hAnsi="Times New Roman"/>
          <w:sz w:val="28"/>
        </w:rPr>
        <w:t>The shell addresses FR-01 (orientation), FR-02 (navigation), and NFR-03 (graceful degradation on sub-view crash). It renders the top header, desktop sidebar, mobile bottom navigation, toast container, floating voice agent, and Cmd-K command palette. The header displays the application title, a theme-aware online/offline pill reflecting AI provider availability, a notification bell with unread count, and a profile avatar opening the settings drawer. The desktop sidebar lists twelve navigation targets grouped into Overview, Insights, and Tools with a footer containing Settings and Log Out. The mobile bottom navigation compresses the same twelve targets into a two-row icon-plus-label bar. The toast container stacks success, warning, and error messages with auto-dismiss timers. The floating voice agent FAB launches the global Gemini Live Audio session (Section 4.14). The Cmd-K palette provides keyboard-first access to every route and common actions.</w:t>
      </w:r>
    </w:p>
    <w:p>
      <w:pPr>
        <w:pStyle w:val="Heading3"/>
      </w:pPr>
      <w:r>
        <w:rPr>
          <w:rFonts w:ascii="Times New Roman" w:hAnsi="Times New Roman"/>
          <w:b/>
          <w:sz w:val="28"/>
        </w:rPr>
        <w:t>Key Technical Decisions and Rationale</w:t>
      </w:r>
    </w:p>
    <w:p>
      <w:pPr/>
      <w:r>
        <w:rPr>
          <w:rFonts w:ascii="Times New Roman" w:hAnsi="Times New Roman"/>
          <w:sz w:val="28"/>
        </w:rPr>
        <w:t>Hash-based routing inside FarmContext removes the react-router dependency while preserving deep-linking and scroll restoration. The router parses window.location.hash on mount and hashchange, validates the target against the NavigationTab enum, and updates currentView state. Lazy-loaded routes via React.lazy() keep only the shell, dashboard, and auth modal in the initial bundle; the remaining nine feature modules load on demand. Defence-in-depth uses a global ErrorBoundary in index.tsx for mount-time failures and a per-route RouteErrorBoundary in App.tsx to confine render-time crashes to one screen. Dynamic title and favicon update via useEffect on currentView so browser tabs reflect the active module. Security: per-route boundary confines crashes; online/offline pill makes AI availability visible.</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4.1  The app shell rendering the Dashboard route with sidebar, header, online pill, notifications and profile avatar.</w:t>
      </w:r>
    </w:p>
    <w:p>
      <w:pPr>
        <w:pStyle w:val="Heading2"/>
      </w:pPr>
      <w:r>
        <w:rPr>
          <w:rFonts w:ascii="Times New Roman" w:hAnsi="Times New Roman"/>
          <w:b/>
          <w:sz w:val="28"/>
        </w:rPr>
        <w:t>4.3 Module 2: Authentication, Sign-up and Onboarding</w:t>
      </w:r>
    </w:p>
    <w:p>
      <w:pPr/>
      <w:r>
        <w:rPr>
          <w:rFonts w:ascii="Times New Roman" w:hAnsi="Times New Roman"/>
          <w:sz w:val="28"/>
        </w:rPr>
        <w:t>Addresses FR-03 (self-registration with country, farm-type, location) and FR-04 (returning-user sign-in). Exposed as a dual-mode modal (LoginPage) from the landing page or header. On sign-up the chosen country code triggers loading a complete country configuration from COUNTRY_REGISTRY — default crops, livestock, prices, alerts, learning modules, tasks, marketplace, chat seeds, weather defaults, wage and currency. West Africa is represented by Nigeria and Ghana with localised seeds, currency, climate zone, and weather defaults. The country selector is a searchable dropdown showing flag, name, and currency code. Farm type is a chip group (Crops, Livestock, Mixed). Area unit (hectares/acres) derives from country config but can be overridden. Phone and location are optional free-text fields stored in the user profile.</w:t>
      </w:r>
    </w:p>
    <w:p>
      <w:pPr>
        <w:pStyle w:val="Heading3"/>
      </w:pPr>
      <w:r>
        <w:rPr>
          <w:rFonts w:ascii="Times New Roman" w:hAnsi="Times New Roman"/>
          <w:b/>
          <w:sz w:val="28"/>
        </w:rPr>
        <w:t>Key Technical Decisions and Rationale</w:t>
      </w:r>
    </w:p>
    <w:p>
      <w:pPr/>
      <w:r>
        <w:rPr>
          <w:rFonts w:ascii="Times New Roman" w:hAnsi="Times New Roman"/>
          <w:sz w:val="28"/>
        </w:rPr>
        <w:t>No identity backend — a 500–800 ms simulated handshake via setTimeout; production would swap in Firebase or Supabase Auth at a single seam in FarmContext.signIn. Country-as-onboarding-pivot: selected at sign-up, never re-asked, seeds every downstream feature. A Kumasi farmer gets Cocoa, Oil Palm, Maize in Cedis with tropical-wet-dry advisories; a Kano farmer gets Sorghum, Millet, Cowpea in Naira with Sahel advisories — same code path, different data. The country configuration merges into userProfile and is accessed via useCountryContext throughout the application. Security: password fields use type="password" with correct autoComplete; show/hide toggle is the only way to reveal. Credentials stored in localStorage under agriflow_credentials and excluded from Settings export.</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4.2  The AgriFlow authentication modal in sign-up mode, showing country selector, farm-type chips and password show/hide toggle.</w:t>
      </w:r>
    </w:p>
    <w:p>
      <w:pPr>
        <w:pStyle w:val="Heading2"/>
      </w:pPr>
      <w:r>
        <w:rPr>
          <w:rFonts w:ascii="Times New Roman" w:hAnsi="Times New Roman"/>
          <w:b/>
          <w:sz w:val="28"/>
        </w:rPr>
        <w:t>4.4 Module 3: Dashboard (Command Center)</w:t>
      </w:r>
    </w:p>
    <w:p>
      <w:pPr/>
      <w:r>
        <w:rPr>
          <w:rFonts w:ascii="Times New Roman" w:hAnsi="Times New Roman"/>
          <w:sz w:val="28"/>
        </w:rPr>
        <w:t>Meets FR-05 (farm state at a glance) and FR-06 (AI-curated intelligence and daily tasks). Renders weather card with climate-risk badge, five KPI cards (Active Crops, Livestock, Market Trend, Tasks, Farm Profit), AI live-intelligence card, daily task button, alerts panel, and task list. The weather card consumes the OpenWeatherMap current endpoint via services/weather.ts, displaying temperature, condition, humidity, wind, and a climate-risk badge (Low/Medium/High) derived from temperature-humidity index. The KPI cards compute values from persisted entity stores: active crop count from CropPlot status, livestock head count from Herd/Flock records, market trend from the latest price change percentage across tracked commodities, open task count from TaskStore, and farm profit from the financial ledger (CropIncome minus CropExpense plus LivestockIncome minus LivestockExpense). The AI live-intelligence card calls geminiService.getLiveIntel with the current CountryContext and renders the structured response — summary, risks, opportunities, recommended actions. The daily task button opens the Task Manager pre-filtered to today. The alerts panel aggregates weather alerts from the weather service and market alerts from price movements exceeding 5%.</w:t>
      </w:r>
    </w:p>
    <w:p>
      <w:pPr>
        <w:pStyle w:val="Heading3"/>
      </w:pPr>
      <w:r>
        <w:rPr>
          <w:rFonts w:ascii="Times New Roman" w:hAnsi="Times New Roman"/>
          <w:b/>
          <w:sz w:val="28"/>
        </w:rPr>
        <w:t>Key Technical Decisions and Rationale</w:t>
      </w:r>
    </w:p>
    <w:p>
      <w:pPr/>
      <w:r>
        <w:rPr>
          <w:rFonts w:ascii="Times New Roman" w:hAnsi="Times New Roman"/>
          <w:sz w:val="28"/>
        </w:rPr>
        <w:t>CountryContext built once via useMemo from userProfile and passed to every AI call, avoiding repeated serialization. Derived metrics computed inline every render — single source of truth in financial ledger ensures KPI cards never drift from detail views. Resilient AI rendering: try/catch wraps every AI call; dashboard never crashes from AI failure — instead renders a fallback card with cached or static guidance. Security: dashboard consumes AI through geminiService facade; no API keys or endpoints in dashboard code. If no provider configured, silently renders FALLBACK_INTEL.</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4.3  The AgriFlow Dashboard showing weather, five KPI cards, AI-generated live intelligence and alerts panel.</w:t>
      </w:r>
    </w:p>
    <w:p>
      <w:pPr>
        <w:pStyle w:val="Heading2"/>
      </w:pPr>
      <w:r>
        <w:rPr>
          <w:rFonts w:ascii="Times New Roman" w:hAnsi="Times New Roman"/>
          <w:b/>
          <w:sz w:val="28"/>
        </w:rPr>
        <w:t>4.5 Module 4: Crop Manager</w:t>
      </w:r>
    </w:p>
    <w:p>
      <w:pPr/>
      <w:r>
        <w:rPr>
          <w:rFonts w:ascii="Times New Roman" w:hAnsi="Times New Roman"/>
          <w:sz w:val="28"/>
        </w:rPr>
        <w:t>Meets FR-07 through FR-12: register, edit, delete crop plots with image, variety, dates, status, area, soil health, water efficiency, biodiversity score; attach activity logs; AI scan sick plants; track per-plot expenses and incomes against computed profit. Decomposed across components/crops/: CropManager (orchestrator), CropGrid (responsive card layout), CropCard (individual plot summary), CropForm (create/edit modal), CropScanner (AI vision modal), ActivityLogModal (timeline), and FinancialLedgerModal (income/expense entries). Each plot stores: id, name, cropType, variety, plantingDate, expectedHarvestDate, status (Planted, Growing, Needs Attention, Ready to Harvest, Harvested, Failed), area, areaUnit, soilHealth (0–100), waterEfficiency (0–100), biodiversityScore (0–100), imageUrl, and notes.</w:t>
      </w:r>
    </w:p>
    <w:p>
      <w:pPr>
        <w:pStyle w:val="Heading3"/>
      </w:pPr>
      <w:r>
        <w:rPr>
          <w:rFonts w:ascii="Times New Roman" w:hAnsi="Times New Roman"/>
          <w:b/>
          <w:sz w:val="28"/>
        </w:rPr>
        <w:t>Key Technical Decisions and Rationale</w:t>
      </w:r>
    </w:p>
    <w:p>
      <w:pPr/>
      <w:r>
        <w:rPr>
          <w:rFonts w:ascii="Times New Roman" w:hAnsi="Times New Roman"/>
          <w:sz w:val="28"/>
        </w:rPr>
        <w:t>Proactive suggestions engine surfaces HARVEST (harvest within 7 days) and HEALTH (pest/disease keywords in recent logs) banners with confirm/dismiss actions that create or update tasks. Coupled delete cascade purges financial records in parallel via Promise.all to prevent orphaned ledger entries. AI scanner uses FileReader → base64 → analyzeCropImage in geminiService; the prompt includes crop type, variety, planting date, and user-provided context. Regenerative fields (soil health, water efficiency, biodiversity) are first-class inputs with validation ranges and visual indicators on the card. Security: image bytes never reach executable context; onError falls back to curated URLs; financial inputs coerced with Number(...) || 0; cascade purge prevents data-residue attacks.</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4.4  Crop Manager grid with plot cards, regenerative indicators and proactive harvest suggestion banner.</w:t>
      </w:r>
    </w:p>
    <w:p>
      <w:pPr>
        <w:spacing w:before="40" w:after="80" w:line="360" w:lineRule="auto"/>
        <w:jc w:val="center"/>
      </w:pPr>
      <w:r>
        <w:rPr>
          <w:rFonts w:ascii="Times New Roman" w:hAnsi="Times New Roman"/>
          <w:i/>
          <w:sz w:val="22"/>
        </w:rPr>
        <w:t>Figure 4.5  AI Crop Scanner mid-diagnosis with uploaded leaf image and structured diagnosis.</w:t>
      </w:r>
    </w:p>
    <w:p>
      <w:pPr>
        <w:pStyle w:val="Heading2"/>
      </w:pPr>
      <w:r>
        <w:rPr>
          <w:rFonts w:ascii="Times New Roman" w:hAnsi="Times New Roman"/>
          <w:b/>
          <w:sz w:val="28"/>
        </w:rPr>
        <w:t>4.6 Module 5: Livestock Manager</w:t>
      </w:r>
    </w:p>
    <w:p>
      <w:pPr/>
      <w:r>
        <w:rPr>
          <w:rFonts w:ascii="Times New Roman" w:hAnsi="Times New Roman"/>
          <w:sz w:val="28"/>
        </w:rPr>
        <w:t>Meets FR-13 through FR-17: register herds/flocks (Cattle, Goat, Sheep, Chicken, Pig, Other) with count, status, grazing type, notes; per-animal health timeline; AI photo scan for health diagnosis. Single 439-LOC file chosen because livestock model is smaller than crop model. Each herd/flock stores: id, species, count, status (Healthy, Needs Attention, Quarantine, Sold), grazingType (Free-range, Zero-grazing, Paddock, Mixed), notes, imageUrl, and a healthLog array of entries with date, type (Vaccination, Treatment, Inspection, Observation), note, and optional imageUrl. The health timeline renders as a vertical chronology with type-coded icons. The AI scanner reuses the crop vision endpoint with a livestock-specific system prompt.</w:t>
      </w:r>
    </w:p>
    <w:p>
      <w:pPr>
        <w:pStyle w:val="Heading3"/>
      </w:pPr>
      <w:r>
        <w:rPr>
          <w:rFonts w:ascii="Times New Roman" w:hAnsi="Times New Roman"/>
          <w:b/>
          <w:sz w:val="28"/>
        </w:rPr>
        <w:t>Key Technical Decisions and Rationale</w:t>
      </w:r>
    </w:p>
    <w:p>
      <w:pPr/>
      <w:r>
        <w:rPr>
          <w:rFonts w:ascii="Times New Roman" w:hAnsi="Times New Roman"/>
          <w:sz w:val="28"/>
        </w:rPr>
        <w:t>Inline forms trade file-count for size — the entire feature lives in LivestockManager.tsx with nested component functions. getLivestockImage(species) returns a curated Unsplash URL per species and re-fires on species change so the card image always matches the selected animal. Reuses crop scanner engine — one vision endpoint serves both modules with different system instructions. Security: same pattern as Crop Manager; StatusColor classifier produces Tailwind classes from a closed string union so injected status strings cannot become arbitrary class names.</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4.6  Livestock Manager showing species-grouped cards with health status chips and grazing-type badges.</w:t>
      </w:r>
    </w:p>
    <w:p>
      <w:pPr>
        <w:pStyle w:val="Heading2"/>
      </w:pPr>
      <w:r>
        <w:rPr>
          <w:rFonts w:ascii="Times New Roman" w:hAnsi="Times New Roman"/>
          <w:b/>
          <w:sz w:val="28"/>
        </w:rPr>
        <w:t>4.7 Module 6: Market Analytics</w:t>
      </w:r>
    </w:p>
    <w:p>
      <w:pPr/>
      <w:r>
        <w:rPr>
          <w:rFonts w:ascii="Times New Roman" w:hAnsi="Times New Roman"/>
          <w:sz w:val="28"/>
        </w:rPr>
        <w:t>Meets FR-18 (commodity price discovery) and FR-19 (projected-yield calculator). Farmer picks commodity from live-simulated ticker, views 1W/1M/3M price chart, refreshes prices, and sees 2020–2026 yield-vs-cost chart whose final year is dynamically overwritten with portfolio-projected revenue and cost. The commodity ticker displays six tracked crops (Maize, Rice, Cassava, Yam, Cocoa, Oil Palm) with current price, 24h change, and trend sparkline. The price chart uses Recharts with responsive container; range buttons switch the synthetic history window. The yield-vs-cost chart combines historical FAO-style data (2020–2025) with a 2026 projection computed from the user's actual crop portfolio: for each active plot, the system looks up the matching market price, calls CropService.calculateProjectedYield with variety, area, soil health, and water efficiency, sums expected revenue, and applies per-crop cost-per-acre estimates from the country config.</w:t>
      </w:r>
    </w:p>
    <w:p>
      <w:pPr>
        <w:pStyle w:val="Heading3"/>
      </w:pPr>
      <w:r>
        <w:rPr>
          <w:rFonts w:ascii="Times New Roman" w:hAnsi="Times New Roman"/>
          <w:b/>
          <w:sz w:val="28"/>
        </w:rPr>
        <w:t>Key Technical Decisions and Rationale</w:t>
      </w:r>
    </w:p>
    <w:p>
      <w:pPr/>
      <w:r>
        <w:rPr>
          <w:rFonts w:ascii="Times New Roman" w:hAnsi="Times New Roman"/>
          <w:sz w:val="28"/>
        </w:rPr>
        <w:t>Deep theme integration — Recharts colors recomputed from theme state every render so charts adapt instantly to light/dark/high-contrast switches. Client-side synthetic price history walks current price backward with ±2% daily volatility plus a 7-day moving average, seeded deterministically from commodity name so the chart is stable across sessions. Live cost-benefit per portfolio iterates actual crops, looks up matching market prices, calls CropService.calculateProjectedYield, sums revenue, applies per-crop cost-per-acre estimates. Security: no user string reaches chart engine except persisted entity names; Refresh button rate-neutralised by 15-minute AI cache.</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4.7  Market Analytics showing commodity ticker strip and interactive price chart with 1W/1M/3M range toggle.</w:t>
      </w:r>
    </w:p>
    <w:p>
      <w:pPr>
        <w:spacing w:before="40" w:after="80" w:line="360" w:lineRule="auto"/>
        <w:jc w:val="center"/>
      </w:pPr>
      <w:r>
        <w:rPr>
          <w:rFonts w:ascii="Times New Roman" w:hAnsi="Times New Roman"/>
          <w:i/>
          <w:sz w:val="22"/>
        </w:rPr>
        <w:t>Figure 4.8  Combined yield-vs-cost chart with final year dynamically overwritten by portfolio-projected revenue and cost.</w:t>
      </w:r>
    </w:p>
    <w:p>
      <w:pPr>
        <w:pStyle w:val="Heading2"/>
      </w:pPr>
      <w:r>
        <w:rPr>
          <w:rFonts w:ascii="Times New Roman" w:hAnsi="Times New Roman"/>
          <w:b/>
          <w:sz w:val="28"/>
        </w:rPr>
        <w:t>4.8 Module 7: News Hub</w:t>
      </w:r>
    </w:p>
    <w:p>
      <w:pPr/>
      <w:r>
        <w:rPr>
          <w:rFonts w:ascii="Times New Roman" w:hAnsi="Times New Roman"/>
          <w:sz w:val="28"/>
        </w:rPr>
        <w:t>Meets FR-20 (curated agricultural news from current web sources). Renders featured article plus grid; source is live AI-curated news from fetchAgNews (Gemini with Google Search grounding) or built-in West-Africa-focused fallback. Simulated badge honestly informs user of active source. The featured article shows a large image, headline, source, publish date, and summary. The grid displays up to eight additional articles in responsive cards. Each article links to the original source with target="_blank" rel="noopener,noreferrer". Category tags (Crops, Livestock, Markets, Policy, Technology, Weather) filter the grid.</w:t>
      </w:r>
    </w:p>
    <w:p>
      <w:pPr>
        <w:pStyle w:val="Heading3"/>
      </w:pPr>
      <w:r>
        <w:rPr>
          <w:rFonts w:ascii="Times New Roman" w:hAnsi="Times New Roman"/>
          <w:b/>
          <w:sz w:val="28"/>
        </w:rPr>
        <w:t>Key Technical Decisions and Rationale</w:t>
      </w:r>
    </w:p>
    <w:p>
      <w:pPr/>
      <w:r>
        <w:rPr>
          <w:rFonts w:ascii="Times New Roman" w:hAnsi="Times New Roman"/>
          <w:sz w:val="28"/>
        </w:rPr>
        <w:t>Lazy AI fetch on mount — one fetch per session, reuses AI response cache keyed by country and timestamp. Honest live/simulated badge in header shows "Live" when Gemini with Search Grounding returns results, "Simulated" when falling back to the built-in catalogue. Graceful external link handling — if no usable URL, opens category-mapped authoritative source (FAO, CABI, national ministry) with noopener,noreferrer. Deterministic cover images via getDeterministicImage(category) using a seeded hash so the same article always shows the same placeholder. Security: all outbound links use noopener,noreferrer; article URLs rendered as &lt;a&gt; href built by React; fallback-source map is fixed constant.</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4.9  News Hub showing featured article above category-coded grid with Live/Simulated pill.</w:t>
      </w:r>
    </w:p>
    <w:p>
      <w:pPr>
        <w:pStyle w:val="Heading2"/>
      </w:pPr>
      <w:r>
        <w:rPr>
          <w:rFonts w:ascii="Times New Roman" w:hAnsi="Times New Roman"/>
          <w:b/>
          <w:sz w:val="28"/>
        </w:rPr>
        <w:t>4.9 Module 8: AI Advisor (Chat and Live Voice)</w:t>
      </w:r>
    </w:p>
    <w:p>
      <w:pPr/>
      <w:r>
        <w:rPr>
          <w:rFonts w:ascii="Times New Roman" w:hAnsi="Times New Roman"/>
          <w:sz w:val="28"/>
        </w:rPr>
        <w:t>Meets FR-21 (natural-language AI consultation), FR-22 (image-attached diagnosis), and FR-23 (live voice with Resilience Engine). Largest single feature file (~575 LOC) implementing two AI modes: turn-by-turn text chat with image attach, and bidirectional live voice. The chat mode maintains a message history with roles (user, model, system), supports image upload via FileReader → base64, and streams responses from geminiService.sendMessage. The live voice mode establishes a WebSocket connection to Gemini Live Audio, captures microphone at 16 kHz mono, encodes Float32 to Int16 PCM, base64-encodes chunks, and sends via session.sendRealtimeInput; playback schedules 24 kHz audio via AudioContext with a nextStartTimeRef to prevent gaps.</w:t>
      </w:r>
    </w:p>
    <w:p>
      <w:pPr>
        <w:pStyle w:val="Heading3"/>
      </w:pPr>
      <w:r>
        <w:rPr>
          <w:rFonts w:ascii="Times New Roman" w:hAnsi="Times New Roman"/>
          <w:b/>
          <w:sz w:val="28"/>
        </w:rPr>
        <w:t>Key Technical Decisions and Rationale</w:t>
      </w:r>
    </w:p>
    <w:p>
      <w:pPr/>
      <w:r>
        <w:rPr>
          <w:rFonts w:ascii="Times New Roman" w:hAnsi="Times New Roman"/>
          <w:sz w:val="28"/>
        </w:rPr>
        <w:t>Custom Web Audio pipeline — 16 kHz AudioContext, getUserMedia 16 kHz mono, ScriptProcessorNode 4096 frames, Float32→Int16 PCM, base64 via session.sendRealtimeInput, 24 kHz playback scheduled via nextStartTimeRef. Volume meter RMS sampled every 100 ms (every 10th frame). Session closure hygiene — onclose/onerror/disconnect stop tracks, close AudioContext, clear refs. Prompt engineering frames AI as "AgriFlow's Senior Agricultural Consultant", injects user name, localises climate/currency/language via buildSystemInstruction. Security: microphone requested only after user gesture and after isAIConfigured() and hasLiveVoice() gates; on disconnect every MediaStreamTrack stopped, AudioBufferSourceNode released, AudioContext closed; audio bytes processed in memory, never persisted.</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4.10  AI Advisor in text-chat mode with attached image and structured diagnosis.</w:t>
      </w:r>
    </w:p>
    <w:p>
      <w:pPr>
        <w:spacing w:before="40" w:after="80" w:line="360" w:lineRule="auto"/>
        <w:jc w:val="center"/>
      </w:pPr>
      <w:r>
        <w:rPr>
          <w:rFonts w:ascii="Times New Roman" w:hAnsi="Times New Roman"/>
          <w:i/>
          <w:sz w:val="22"/>
        </w:rPr>
        <w:t>Figure 4.11  AI Advisor in live-voice mode with volume meter and call timer.</w:t>
      </w:r>
    </w:p>
    <w:p>
      <w:pPr>
        <w:pStyle w:val="Heading2"/>
      </w:pPr>
      <w:r>
        <w:rPr>
          <w:rFonts w:ascii="Times New Roman" w:hAnsi="Times New Roman"/>
          <w:b/>
          <w:sz w:val="28"/>
        </w:rPr>
        <w:t>4.10 Module 9: Resource Calculator</w:t>
      </w:r>
    </w:p>
    <w:p>
      <w:pPr/>
      <w:r>
        <w:rPr>
          <w:rFonts w:ascii="Times New Roman" w:hAnsi="Times New Roman"/>
          <w:sz w:val="28"/>
        </w:rPr>
        <w:t>Meets FR-24 (fertilizer planner) and FR-25 (irrigation scheduler). Computes fertilizer mass from target-N kg/ha × area ÷ fertilizer-N%, or irrigation litres/day from ET₀ × Kc ÷ efficiency × area_m². Last result persists across sessions via saveResourceResult.</w:t>
      </w:r>
    </w:p>
    <w:p>
      <w:pPr>
        <w:pStyle w:val="Heading3"/>
      </w:pPr>
      <w:r>
        <w:rPr>
          <w:rFonts w:ascii="Times New Roman" w:hAnsi="Times New Roman"/>
          <w:b/>
          <w:sz w:val="28"/>
        </w:rPr>
        <w:t>Key Technical Decisions and Rationale</w:t>
      </w:r>
    </w:p>
    <w:p>
      <w:pPr/>
      <w:r>
        <w:rPr>
          <w:rFonts w:ascii="Times New Roman" w:hAnsi="Times New Roman"/>
          <w:sz w:val="28"/>
        </w:rPr>
        <w:t>Pure client-side agronomy — deterministic formulae only; fertilizer types (Urea 46%, SOA 21%, Ammonium Nitrate 33%, DAP 18%), irrigation efficiencies (Drip 0.90, Sprinkler 0.75, Flood 0.50), Kc presets for Maize/Sorghum/Vegetables/Fruit trees. Area-unit aware — area_m² uses country config (ha vs acres). Security: numeric inputs coerced via Number(...) || 0; persisted result validated on read.</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4.12  Resource Calculator showing fertilizer target-N calculation with result card and cost tip.</w:t>
      </w:r>
    </w:p>
    <w:p>
      <w:pPr>
        <w:pStyle w:val="Heading2"/>
      </w:pPr>
      <w:r>
        <w:rPr>
          <w:rFonts w:ascii="Times New Roman" w:hAnsi="Times New Roman"/>
          <w:b/>
          <w:sz w:val="28"/>
        </w:rPr>
        <w:t>4.11 Module 10: Education Hub</w:t>
      </w:r>
    </w:p>
    <w:p>
      <w:pPr/>
      <w:r>
        <w:rPr>
          <w:rFonts w:ascii="Times New Roman" w:hAnsi="Times New Roman"/>
          <w:sz w:val="28"/>
        </w:rPr>
        <w:t>Meets FR-26 (browse structured learning modules), FR-27 (complete lessons and unlock next), FR-28 (earn certificate on completion). Course library with category filter/search, per-course view with embedded YouTube player, lesson-by-lesson syllabus with progressive unlock, Mark Complete action that flips certificate.</w:t>
      </w:r>
    </w:p>
    <w:p>
      <w:pPr>
        <w:pStyle w:val="Heading3"/>
      </w:pPr>
      <w:r>
        <w:rPr>
          <w:rFonts w:ascii="Times New Roman" w:hAnsi="Times New Roman"/>
          <w:b/>
          <w:sz w:val="28"/>
        </w:rPr>
        <w:t>Key Technical Decisions and Rationale</w:t>
      </w:r>
    </w:p>
    <w:p>
      <w:pPr/>
      <w:r>
        <w:rPr>
          <w:rFonts w:ascii="Times New Roman" w:hAnsi="Times New Roman"/>
          <w:sz w:val="28"/>
        </w:rPr>
        <w:t>Click-to-play YouTube — &lt;iframe&gt; mounts only when isPlaying set; thumbnail-with-play button defers heavy iframe until intent. Progressive unlock — lessons unlock only after previous marked complete. Dynamic lesson titles via getLessonTitle(index, total, category). Progress persistence debounced via 100 ms flushModules timer. Security: YouTube iframe is third-party; click-to-play is the security control; videoId sourced from constants/modules.ts, not user input.</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4.13  Education Hub library with category filter, search and course cards with progress indicators.</w:t>
      </w:r>
    </w:p>
    <w:p>
      <w:pPr>
        <w:spacing w:before="40" w:after="80" w:line="360" w:lineRule="auto"/>
        <w:jc w:val="center"/>
      </w:pPr>
      <w:r>
        <w:rPr>
          <w:rFonts w:ascii="Times New Roman" w:hAnsi="Times New Roman"/>
          <w:i/>
          <w:sz w:val="22"/>
        </w:rPr>
        <w:t>Figure 4.14  Single Education Hub course showing click-to-play video thumbnail, syllabus with locked and completed lessons and certificate preview.</w:t>
      </w:r>
    </w:p>
    <w:p>
      <w:pPr>
        <w:pStyle w:val="Heading2"/>
      </w:pPr>
      <w:r>
        <w:rPr>
          <w:rFonts w:ascii="Times New Roman" w:hAnsi="Times New Roman"/>
          <w:b/>
          <w:sz w:val="28"/>
        </w:rPr>
        <w:t>4.12 Module 11: Community Hub</w:t>
      </w:r>
    </w:p>
    <w:p>
      <w:pPr/>
      <w:r>
        <w:rPr>
          <w:rFonts w:ascii="Times New Roman" w:hAnsi="Times New Roman"/>
          <w:sz w:val="28"/>
        </w:rPr>
        <w:t>Meets FR-29 through FR-35: forum posts with like/reply/bookmark/follow; marketplace listings (SELL/BUY with verified badge); channel-based chat (general, crops, livestock, equipment, market-watch, knowledge, co-ops); Q&amp;A tab with expert-flagged accepted answers; polling card. Decomposed across components/community/.</w:t>
      </w:r>
    </w:p>
    <w:p>
      <w:pPr>
        <w:pStyle w:val="Heading3"/>
      </w:pPr>
      <w:r>
        <w:rPr>
          <w:rFonts w:ascii="Times New Roman" w:hAnsi="Times New Roman"/>
          <w:b/>
          <w:sz w:val="28"/>
        </w:rPr>
        <w:t>Key Technical Decisions and Rationale</w:t>
      </w:r>
    </w:p>
    <w:p>
      <w:pPr/>
      <w:r>
        <w:rPr>
          <w:rFonts w:ascii="Times New Roman" w:hAnsi="Times New Roman"/>
          <w:sz w:val="28"/>
        </w:rPr>
        <w:t>Hybrid persistence — posts, listings, chats, likes, bookmarks, follows persist via CommunityService to localStorage; questions, answers, challenges live only in component state. Tab routing inside feature via activeTab without consuming global navigate(). Story timer — viewingStory triggers 5-second progress meter via setInterval. Location-aware alerts aggregation combines weather alerts with market prices whose changePercentage ≥ 5%. Auth gate on persist actions. Security: largest user-content surface; every user string rendered as JSX child interpolation (React escapes); codebase-wide search confirms zero dangerouslySetInnerHTML, innerHTML, eval, or Function constructor; service layer validates empty/near-empty payloads rejected; external links use encodeURIComponent and noopener,noreferrer.</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4.15  Community Hub Feed tab with story tray, post composer, engagement controls and right sidebar.</w:t>
      </w:r>
    </w:p>
    <w:p>
      <w:pPr>
        <w:spacing w:before="40" w:after="80" w:line="360" w:lineRule="auto"/>
        <w:jc w:val="center"/>
      </w:pPr>
      <w:r>
        <w:rPr>
          <w:rFonts w:ascii="Times New Roman" w:hAnsi="Times New Roman"/>
          <w:i/>
          <w:sz w:val="22"/>
        </w:rPr>
        <w:t>Figure 4.16  Community Hub Marketplace tab showing SELL/BUY listings with verified badges and contact buttons.</w:t>
      </w:r>
    </w:p>
    <w:p>
      <w:pPr>
        <w:pStyle w:val="Heading2"/>
      </w:pPr>
      <w:r>
        <w:rPr>
          <w:rFonts w:ascii="Times New Roman" w:hAnsi="Times New Roman"/>
          <w:b/>
          <w:sz w:val="28"/>
        </w:rPr>
        <w:t>4.13 Module 12: Farm Labor Planner and Planting Calendar</w:t>
      </w:r>
    </w:p>
    <w:p>
      <w:pPr/>
      <w:r>
        <w:rPr>
          <w:rFonts w:ascii="Times New Roman" w:hAnsi="Times New Roman"/>
          <w:sz w:val="28"/>
        </w:rPr>
        <w:t>Labor Planner meets FR-36 (compute optimal workforce given size, crop mix, livestock, season, mechanisation, family labour, irrigation); Planting Calendar meets FR-37 (offline West African crop calendar with planting windows, key activities, water need, soil preference, agronomic tips, varieties).</w:t>
      </w:r>
    </w:p>
    <w:p>
      <w:pPr>
        <w:pStyle w:val="Heading3"/>
      </w:pPr>
      <w:r>
        <w:rPr>
          <w:rFonts w:ascii="Times New Roman" w:hAnsi="Times New Roman"/>
          <w:b/>
          <w:sz w:val="28"/>
        </w:rPr>
        <w:t>Key Technical Decisions and Rationale</w:t>
      </w:r>
    </w:p>
    <w:p>
      <w:pPr/>
      <w:r>
        <w:rPr>
          <w:rFonts w:ascii="Times New Roman" w:hAnsi="Times New Roman"/>
          <w:sz w:val="28"/>
        </w:rPr>
        <w:t>Labor Planner — domain-rich 100-line pure function calculateLabor(input, dailyWage, feedingCost) with WEST_AFRICAN_CROPS table, season factor (rainy ×1.25, dry ×0.85), mechanisation factor (none 1.0, partial 0.65, full 0.35), irrigation factor, working-days-per-month = 22. Returns total, family, hired, peak, monthly breakdown, cost estimate, recommendations. Country-aware wages from COUNTRY_REGISTRY[countryCode].dailyWageLocal (NG = ₦3,500, GH = GH₵90). Eight-rule recommendation engine (partial mechanisation for &gt;3 ha, supervisor if &gt;5 hired, pump irrigation for manual + &gt;2 ha, crop-livestock integration hints). Planting Calendar — CROP_CALENDAR (394 LOC) static dataset: per-crop plantingWindows, growthDurationWeeks, harvestWindow, month-indexed keyActivities, waterNeed, soilPreference, tips, varieties. CLIMATE_ZONE_INFO maps five West African climate zones. Three-pillar filtering (climate + search + month) via useMemo; user's climate zone preselected. Zero AI — works offline. Security: no network calls; inputs coerced defensively; static catalogue immunised from client tampering.</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4.17  Farm Labor Planner showing recommended workforce, monthly breakdown, cost estimate and recommendations.</w:t>
      </w:r>
    </w:p>
    <w:p>
      <w:pPr>
        <w:spacing w:before="40" w:after="80" w:line="360" w:lineRule="auto"/>
        <w:jc w:val="center"/>
      </w:pPr>
      <w:r>
        <w:rPr>
          <w:rFonts w:ascii="Times New Roman" w:hAnsi="Times New Roman"/>
          <w:i/>
          <w:sz w:val="22"/>
        </w:rPr>
        <w:t>Figure 4.18  Planting Calendar with month strip, climate-zone chips and expanded crop accordion showing key activities, water need, soil preference, tips and varieties.</w:t>
      </w:r>
    </w:p>
    <w:p>
      <w:pPr>
        <w:pStyle w:val="Heading2"/>
      </w:pPr>
      <w:r>
        <w:rPr>
          <w:rFonts w:ascii="Times New Roman" w:hAnsi="Times New Roman"/>
          <w:b/>
          <w:sz w:val="28"/>
        </w:rPr>
        <w:t>4.14 Module 13: Settings, Navigation and Global Voice Agent</w:t>
      </w:r>
    </w:p>
    <w:p>
      <w:pPr/>
      <w:r>
        <w:rPr>
          <w:rFonts w:ascii="Times New Roman" w:hAnsi="Times New Roman"/>
          <w:sz w:val="28"/>
        </w:rPr>
        <w:t>Settings: FR-38 (profile editing), FR-39 (theme switching: light/dark/high-contrast WCAG AAA), FR-40 (data export/import as single JSON blob), FR-41 (factory reset). Key: handleExportData iterates DB_KEYS only — agriflow_credentials deliberately excluded so export never ships plaintext password; handleImportData validates incoming keys against DB_KEYS allow-list; resetApp wipes every DB key plus credential, theme, and onboarding flags then reloads. Sidebar and MobileNav: twelve routes grouped Overview/Insights/Tools on desktop with footer Settings/Log Out; MobileNav compresses to two-row bottom bar; both consume NavigationTab enum from types.ts so identifiers cannot drift. Voice Agent (global FAB): FR-42 (voice-driven navigation and query). Opens live Gemini Live Audio session with five function-calling tools: navigateApp, setTheme, createTask, getFarmWeather, getMarketPulse. Ref-based live-data plumbing (weatherRef, marketPricesRef, userProfileRef synced via tiny useEffects to avoid stale closures). Security: tool-call dispatcher validates enum arguments; unknown argument returns tool-response error.</w:t>
      </w:r>
    </w:p>
    <w:p>
      <w:pPr>
        <w:pStyle w:val="Heading3"/>
      </w:pPr>
      <w:r>
        <w:rPr>
          <w:rFonts w:ascii="Times New Roman" w:hAnsi="Times New Roman"/>
          <w:b/>
          <w:sz w:val="28"/>
        </w:rPr>
        <w:t>Key Technical Decisions and Rationale</w:t>
      </w:r>
    </w:p>
    <w:p>
      <w:pPr/>
      <w:r>
        <w:rPr>
          <w:rFonts w:ascii="Times New Roman" w:hAnsi="Times New Roman"/>
          <w:sz w:val="28"/>
        </w:rPr>
        <w:t>Centralised theme state with WCAG-AAA high-contrast mode. Export/import operates on allow-listed keys only — credentials never leave client. NavigationTab enum single source of truth for all routing. Voice Agent uses ref-based plumbing to avoid stale closures in async callbacks. Function-calling tool dispatcher validates arguments against closed enums.</w:t>
      </w:r>
    </w:p>
    <w:p>
      <w:pPr>
        <w:pStyle w:val="Heading3"/>
      </w:pPr>
      <w:r>
        <w:rPr>
          <w:rFonts w:ascii="Times New Roman" w:hAnsi="Times New Roman"/>
          <w:b/>
          <w:sz w:val="28"/>
        </w:rPr>
        <w:t>Security Within This Module</w:t>
      </w:r>
    </w:p>
    <w:p>
      <w:pPr/>
      <w:r>
        <w:rPr>
          <w:rFonts w:ascii="Times New Roman" w:hAnsi="Times New Roman"/>
          <w:sz w:val="28"/>
        </w:rPr>
        <w:t>Security measures follow the application-wide pattern: no dangerouslySetInnerHTML or eval; all user strings rendered as JSX children (React escapes); image onError falls back to curated static URLs; numeric inputs coerced via Number(...) || 0; AI calls routed through geminiService facade with safe-mock fallback; microphone requested only after user gesture and preflight gates.</w:t>
      </w:r>
    </w:p>
    <w:p>
      <w:pPr>
        <w:spacing w:before="40" w:after="80" w:line="360" w:lineRule="auto"/>
        <w:jc w:val="center"/>
      </w:pPr>
      <w:r>
        <w:rPr>
          <w:rFonts w:ascii="Times New Roman" w:hAnsi="Times New Roman"/>
          <w:i/>
          <w:sz w:val="22"/>
        </w:rPr>
        <w:t>Figure 4.19  Settings page showing profile edit form, light/dark/high-contrast (WCAG AAA) theme cards and data export-import-reset block.</w:t>
      </w:r>
    </w:p>
    <w:p>
      <w:pPr>
        <w:spacing w:before="40" w:after="80" w:line="360" w:lineRule="auto"/>
        <w:jc w:val="center"/>
      </w:pPr>
      <w:r>
        <w:rPr>
          <w:rFonts w:ascii="Times New Roman" w:hAnsi="Times New Roman"/>
          <w:i/>
          <w:sz w:val="22"/>
        </w:rPr>
        <w:t>Figure 4.20  Voice Agent FAB expanded into active voice-call panel with volume meter and call timer.</w:t>
      </w:r>
    </w:p>
    <w:p>
      <w:pPr>
        <w:pStyle w:val="Heading2"/>
      </w:pPr>
      <w:r>
        <w:rPr>
          <w:rFonts w:ascii="Times New Roman" w:hAnsi="Times New Roman"/>
          <w:b/>
          <w:sz w:val="28"/>
        </w:rPr>
        <w:t>4.15 Security Implementation Evidence</w:t>
      </w:r>
    </w:p>
    <w:p>
      <w:pPr/>
      <w:r>
        <w:rPr>
          <w:rFonts w:ascii="Times New Roman" w:hAnsi="Times New Roman"/>
          <w:sz w:val="28"/>
        </w:rPr>
        <w:t>Chapter Three section 3.5 set out six security commitments. This section provides concrete code snippets proving each was implemented, not merely planned. Two known weaknesses — plaintext credential storage and the absence of a Content-Security-Policy meta tag — are documented honestly with their remediation routes.</w:t>
      </w:r>
    </w:p>
    <w:p>
      <w:pPr>
        <w:pStyle w:val="Heading3"/>
      </w:pPr>
      <w:r>
        <w:rPr>
          <w:rFonts w:ascii="Times New Roman" w:hAnsi="Times New Roman"/>
          <w:b/>
          <w:sz w:val="28"/>
        </w:rPr>
        <w:t>4.15.1 Build-time Isolation of API Keys</w:t>
      </w:r>
    </w:p>
    <w:p>
      <w:pPr/>
      <w:r>
        <w:rPr>
          <w:rFonts w:ascii="Times New Roman" w:hAnsi="Times New Roman"/>
          <w:sz w:val="28"/>
        </w:rPr>
        <w:t>Vite's loadEnv reads environment variables from the local .env file; only values prefixed with VITE_ are exposed to the client bundle. Keys are never written into the source repository (.gitignore ignores *.local). Inside the provider factory the active key is selected at startup and the remaining keys never come into scope.</w:t>
      </w:r>
    </w:p>
    <w:p>
      <w:pPr>
        <w:spacing w:before="80" w:after="80" w:line="276" w:lineRule="auto"/>
        <w:ind w:left="576"/>
      </w:pPr>
      <w:r>
        <w:rPr>
          <w:rFonts w:ascii="Consolas" w:hAnsi="Consolas"/>
          <w:color w:val="333333"/>
          <w:sz w:val="20"/>
        </w:rPr>
        <w:t>// vite.config.ts</w:t>
        <w:br/>
        <w:t>import { loadEnv } from 'vite';</w:t>
        <w:br/>
        <w:t>export default defineConfig(({ mode }) =&gt; {</w:t>
        <w:br/>
        <w:t xml:space="preserve">  const env = loadEnv(mode, process.cwd(), 'VITE_');</w:t>
        <w:br/>
        <w:t xml:space="preserve">  return { define: { 'import.meta.env': env } };</w:t>
        <w:br/>
        <w:t>});</w:t>
        <w:br/>
        <w:br/>
        <w:t>// services/ai/index.ts</w:t>
        <w:br/>
        <w:t>const VITE_GEMINI_KEY = import.meta.env.VITE_GEMINI_API_KEY || '';</w:t>
        <w:br/>
        <w:t>const VITE_NVIDIA_KEY = import.meta.env.VITE_NVIDIA_API_KEY || '';</w:t>
        <w:br/>
        <w:t>let _provider = null;</w:t>
        <w:br/>
        <w:t>function createProvider() {</w:t>
        <w:br/>
        <w:t xml:space="preserve">  if (VITE_GEMINI_KEY) return new GeminiProvider();</w:t>
        <w:br/>
        <w:t xml:space="preserve">  if (VITE_NVIDIA_KEY) return new NvidiaNIMProvider();</w:t>
        <w:br/>
        <w:t xml:space="preserve">  return new GeminiProvider(); // safe-mock fallback</w:t>
        <w:br/>
        <w:t>}</w:t>
      </w:r>
    </w:p>
    <w:p>
      <w:pPr>
        <w:pStyle w:val="Heading3"/>
      </w:pPr>
      <w:r>
        <w:rPr>
          <w:rFonts w:ascii="Times New Roman" w:hAnsi="Times New Roman"/>
          <w:b/>
          <w:sz w:val="28"/>
        </w:rPr>
        <w:t>4.15.2 Provider Abstraction with Safe-Mock Fallback</w:t>
      </w:r>
    </w:p>
    <w:p>
      <w:pPr/>
      <w:r>
        <w:rPr>
          <w:rFonts w:ascii="Times New Roman" w:hAnsi="Times New Roman"/>
          <w:sz w:val="28"/>
        </w:rPr>
        <w:t>Every AI method in GeminiProvider checks the configured key and returns the appropriate FALLBACK_* constant from services/ai/shared.ts if no key is present.</w:t>
      </w:r>
    </w:p>
    <w:p>
      <w:pPr>
        <w:spacing w:before="80" w:after="80" w:line="276" w:lineRule="auto"/>
        <w:ind w:left="576"/>
      </w:pPr>
      <w:r>
        <w:rPr>
          <w:rFonts w:ascii="Consolas" w:hAnsi="Consolas"/>
          <w:color w:val="333333"/>
          <w:sz w:val="20"/>
        </w:rPr>
        <w:t>// services/ai/GeminiProvider.ts</w:t>
        <w:br/>
        <w:t>async fetchAgNews(ctx?: CountryContext): Promise&lt;NewsArticle[]&gt; {</w:t>
        <w:br/>
        <w:t xml:space="preserve">  if (!VITE_GEMINI_KEY) return FALLBACK_NEWS;</w:t>
        <w:br/>
        <w:t xml:space="preserve">  // ... live fetch with Google Search grounding</w:t>
        <w:br/>
        <w:t>}</w:t>
        <w:br/>
        <w:br/>
        <w:t>// services/ai/index.ts</w:t>
        <w:br/>
        <w:t>export function isAIConfigured(): boolean {</w:t>
        <w:br/>
        <w:t xml:space="preserve">  return !!VITE_GEMINI_KEY || !!VITE_NVIDIA_KEY;</w:t>
        <w:br/>
        <w:t>} // used by every AI consumer before calling</w:t>
      </w:r>
    </w:p>
    <w:p>
      <w:pPr>
        <w:pStyle w:val="Heading3"/>
      </w:pPr>
      <w:r>
        <w:rPr>
          <w:rFonts w:ascii="Times New Roman" w:hAnsi="Times New Roman"/>
          <w:b/>
          <w:sz w:val="28"/>
        </w:rPr>
        <w:t>4.15.3 Service-Worker Cache Policy Protecting AI Responses</w:t>
      </w:r>
    </w:p>
    <w:p>
      <w:pPr/>
      <w:r>
        <w:rPr>
          <w:rFonts w:ascii="Times New Roman" w:hAnsi="Times New Roman"/>
          <w:sz w:val="28"/>
        </w:rPr>
        <w:t>public/sw.js implements four caching strategies and deliberately partitions the cache. Only GET requests are intercepted; AI hostnames are allow-listed — the Bearer-header SDK traffic cannot be served stale from this SW.</w:t>
      </w:r>
    </w:p>
    <w:p>
      <w:pPr>
        <w:spacing w:before="80" w:after="80" w:line="276" w:lineRule="auto"/>
        <w:ind w:left="576"/>
      </w:pPr>
      <w:r>
        <w:rPr>
          <w:rFonts w:ascii="Consolas" w:hAnsi="Consolas"/>
          <w:color w:val="333333"/>
          <w:sz w:val="20"/>
        </w:rPr>
        <w:t>// public/sw.js:34-68</w:t>
        <w:br/>
        <w:t>function isApiRequest(url) {</w:t>
        <w:br/>
        <w:t xml:space="preserve">  const apiHosts = [</w:t>
        <w:br/>
        <w:t xml:space="preserve">    'generativelanguage.googleapis.com',</w:t>
        <w:br/>
        <w:t xml:space="preserve">    'integrate.api.nvidia.com',</w:t>
        <w:br/>
        <w:t xml:space="preserve">    'api.openweathermap.org'</w:t>
        <w:br/>
        <w:t xml:space="preserve">  ];</w:t>
        <w:br/>
        <w:t xml:space="preserve">  return apiHosts.some(h =&gt; url.hostname.includes(h));</w:t>
        <w:br/>
        <w:t>}</w:t>
        <w:br/>
        <w:t>if (url.origin !== self.location.origin) {</w:t>
        <w:br/>
        <w:t xml:space="preserve">  if (isApiRequest(url)) return event.respondWith(networkFirstWithApiCache(request));</w:t>
        <w:br/>
        <w:t xml:space="preserve">  return event.respondWith(networkOnly(request));</w:t>
        <w:br/>
        <w:t>}</w:t>
      </w:r>
    </w:p>
    <w:p>
      <w:pPr>
        <w:pStyle w:val="Heading3"/>
      </w:pPr>
      <w:r>
        <w:rPr>
          <w:rFonts w:ascii="Times New Roman" w:hAnsi="Times New Roman"/>
          <w:b/>
          <w:sz w:val="28"/>
        </w:rPr>
        <w:t>4.15.4 Persistence-Layer Error Isolation</w:t>
      </w:r>
    </w:p>
    <w:p>
      <w:pPr/>
      <w:r>
        <w:rPr>
          <w:rFonts w:ascii="Times New Roman" w:hAnsi="Times New Roman"/>
          <w:sz w:val="28"/>
        </w:rPr>
        <w:t>PersistenceService wraps every read in a try/catch and returns the supplied default rather than throwing; a write failure returns false rather than crashing the caller. Migration-on-read defaults defend against incomplete persisted state — new fields added late (biodiversityScore, priority, grazingType) get sensible defaults so old persisted records do not break new UI.</w:t>
      </w:r>
    </w:p>
    <w:p>
      <w:pPr>
        <w:spacing w:before="80" w:after="80" w:line="276" w:lineRule="auto"/>
        <w:ind w:left="576"/>
      </w:pPr>
      <w:r>
        <w:rPr>
          <w:rFonts w:ascii="Consolas" w:hAnsi="Consolas"/>
          <w:color w:val="333333"/>
          <w:sz w:val="20"/>
        </w:rPr>
        <w:t>// services/persistence.ts:46-65</w:t>
        <w:br/>
        <w:t>private getItem&lt;T&gt;(key: string, defaultValue: T): T {</w:t>
        <w:br/>
        <w:t xml:space="preserve">  try { return localStorage.getItem(key) ? JSON.parse(...) : defaultValue; }</w:t>
        <w:br/>
        <w:t xml:space="preserve">  catch { return defaultValue; }</w:t>
        <w:br/>
        <w:t>}</w:t>
        <w:br/>
        <w:t>private setItem&lt;T&gt;(key: string, value: T): boolean {</w:t>
        <w:br/>
        <w:t xml:space="preserve">  try { localStorage.setItem(key, JSON.stringify(value)); return true; }</w:t>
        <w:br/>
        <w:t xml:space="preserve">  catch { return false; }</w:t>
        <w:br/>
        <w:t>}</w:t>
      </w:r>
    </w:p>
    <w:p>
      <w:pPr>
        <w:pStyle w:val="Heading3"/>
      </w:pPr>
      <w:r>
        <w:rPr>
          <w:rFonts w:ascii="Times New Roman" w:hAnsi="Times New Roman"/>
          <w:b/>
          <w:sz w:val="28"/>
        </w:rPr>
        <w:t>4.15.5 Client-Side Session State and Input Handling</w:t>
      </w:r>
    </w:p>
    <w:p>
      <w:pPr/>
      <w:r>
        <w:rPr>
          <w:rFonts w:ascii="Times New Roman" w:hAnsi="Times New Roman"/>
          <w:sz w:val="28"/>
        </w:rPr>
        <w:t>Navigation targets are allow-listed against the NavigationTab enum before the hash is rewritten; voice-driven navigation re-validates the destination.</w:t>
      </w:r>
    </w:p>
    <w:p>
      <w:pPr>
        <w:spacing w:before="80" w:after="80" w:line="276" w:lineRule="auto"/>
        <w:ind w:left="576"/>
      </w:pPr>
      <w:r>
        <w:rPr>
          <w:rFonts w:ascii="Consolas" w:hAnsi="Consolas"/>
          <w:color w:val="333333"/>
          <w:sz w:val="20"/>
        </w:rPr>
        <w:t>// contexts/FarmContext.tsx:308-320</w:t>
        <w:br/>
        <w:t>const navigate = (tab) =&gt; {</w:t>
        <w:br/>
        <w:t xml:space="preserve">  if (Object.values(NavigationTab).includes(tab)) { // allow-list</w:t>
        <w:br/>
        <w:t xml:space="preserve">    setCurrentView(tab);</w:t>
        <w:br/>
        <w:t xml:space="preserve">    window.location.hash = tab;</w:t>
        <w:br/>
        <w:t xml:space="preserve">  }</w:t>
        <w:br/>
        <w:t>};</w:t>
      </w:r>
    </w:p>
    <w:p>
      <w:pPr>
        <w:pStyle w:val="Heading3"/>
      </w:pPr>
      <w:r>
        <w:rPr>
          <w:rFonts w:ascii="Times New Roman" w:hAnsi="Times New Roman"/>
          <w:b/>
          <w:sz w:val="28"/>
        </w:rPr>
        <w:t>4.15.6 XSS Prevention by Construction</w:t>
      </w:r>
    </w:p>
    <w:p>
      <w:pPr/>
      <w:r>
        <w:rPr>
          <w:rFonts w:ascii="Times New Roman" w:hAnsi="Times New Roman"/>
          <w:sz w:val="28"/>
        </w:rPr>
        <w:t>A codebase-wide search for dangerouslySetInnerHTML, innerHTML, eval, and the Function constructor returns zero matches. Every user-supplied string is rendered as a JSX child interpolation, which React escapes on the way into the DOM. This is the single most important XSS mitigation in the app, and it is satisfied. Image onError handlers always fall back to a hardcoded Unsplash or ui-avatars URL — never to a user-controlled string.</w:t>
      </w:r>
    </w:p>
    <w:p>
      <w:pPr>
        <w:spacing w:before="80" w:after="80" w:line="276" w:lineRule="auto"/>
        <w:ind w:left="576"/>
      </w:pPr>
      <w:r>
        <w:rPr>
          <w:rFonts w:ascii="Consolas" w:hAnsi="Consolas"/>
          <w:color w:val="333333"/>
          <w:sz w:val="20"/>
        </w:rPr>
        <w:t>// components/ui/Avatar.tsx</w:t>
        <w:br/>
        <w:t>onError={(e) =&gt; { e.currentTarget.src = '/stock/user.svg'; }}</w:t>
      </w:r>
    </w:p>
    <w:p>
      <w:pPr>
        <w:pStyle w:val="Heading3"/>
      </w:pPr>
      <w:r>
        <w:rPr>
          <w:rFonts w:ascii="Times New Roman" w:hAnsi="Times New Roman"/>
          <w:b/>
          <w:sz w:val="28"/>
        </w:rPr>
        <w:t>4.15.7 Error Containment and Microphone/Location Teardown</w:t>
      </w:r>
    </w:p>
    <w:p>
      <w:pPr/>
      <w:r>
        <w:rPr>
          <w:rFonts w:ascii="Times New Roman" w:hAnsi="Times New Roman"/>
          <w:sz w:val="28"/>
        </w:rPr>
        <w:t>Two React error boundaries are wired into the app: the global ErrorBoundary in index.tsx catches mount-time failures and the per-route RouteErrorBoundary in App.tsx confines a render-time crash to one screen. The microphone is requested only after a user gesture and after isAIConfigured and hasLiveVoice preflight gates have both passed; on disconnect every MediaStreamTrack is stopped, every AudioBufferSourceNode is released, and the AudioContext is closed.</w:t>
      </w:r>
    </w:p>
    <w:p>
      <w:pPr>
        <w:pStyle w:val="Heading3"/>
      </w:pPr>
      <w:r>
        <w:rPr>
          <w:rFonts w:ascii="Times New Roman" w:hAnsi="Times New Roman"/>
          <w:b/>
          <w:sz w:val="28"/>
        </w:rPr>
        <w:t>4.15.8 Known Weaknesses and Their Remediation Routes</w:t>
      </w:r>
    </w:p>
    <w:p>
      <w:pPr/>
      <w:r>
        <w:rPr>
          <w:rFonts w:ascii="Times New Roman" w:hAnsi="Times New Roman"/>
          <w:sz w:val="28"/>
        </w:rPr>
        <w:t>Plaintext credential storage. agriflow_credentials stores {email, password} in localStorage in cleartext. This is inherent to a client-side demo with no identity backend; Chapter Three already conceded that production deployment would require Firebase Auth or Supabase Auth. The remediation path is to remove the credential write from App.tsx and substitute the chosen identity provider at the single signIn/login seam in FarmContext.tsx. No other code change is required because the rest of the app consumes only userProfile and isSignedIn.</w:t>
      </w:r>
    </w:p>
    <w:p>
      <w:pPr/>
      <w:r>
        <w:rPr>
          <w:rFonts w:ascii="Times New Roman" w:hAnsi="Times New Roman"/>
          <w:sz w:val="28"/>
        </w:rPr>
        <w:t>No Content-Security-Policy. index.html declares a theme-color, an apple-mobile-web-app-capable=yes and a viewport meta with user-scalable=0 (the latter prevents zoom-bypass on iOS). It does not currently declare a CSP meta. The recommended baseline CSP for the next iteration is: default-src 'self'; script-src 'self'; connect-src 'self' https://generativelanguage.googleapis.com https://integrate.api.nvidia.com https://api.openweathermap.org; img-src 'self' data: https:; style-src 'self' 'unsafe-inline' https://fonts.googleapis.com; font-src 'self' https://fonts.gstatic.com; frame-src https://www.youtube.com. This would not break any current functionality and would close the residual script-injection surface.</w:t>
      </w:r>
    </w:p>
    <w:p>
      <w:pPr>
        <w:pStyle w:val="Heading2"/>
      </w:pPr>
      <w:r>
        <w:rPr>
          <w:rFonts w:ascii="Times New Roman" w:hAnsi="Times New Roman"/>
          <w:b/>
          <w:sz w:val="28"/>
        </w:rPr>
        <w:t>4.16 Demonstration Scenarios</w:t>
      </w:r>
    </w:p>
    <w:p>
      <w:pPr/>
      <w:r>
        <w:rPr>
          <w:rFonts w:ascii="Times New Roman" w:hAnsi="Times New Roman"/>
          <w:sz w:val="28"/>
        </w:rPr>
        <w:t>This section documents three end-to-end scenarios exercising representative real-world use cases of AgriFlow. Each follows the same template: title and description, initial conditions, step-by-step actions, expected output, actual observed output with a screenshot figure, and a pass/fail assessment.</w:t>
      </w:r>
    </w:p>
    <w:p>
      <w:pPr>
        <w:pStyle w:val="Heading3"/>
      </w:pPr>
      <w:r>
        <w:rPr>
          <w:rFonts w:ascii="Times New Roman" w:hAnsi="Times New Roman"/>
          <w:b/>
          <w:sz w:val="28"/>
        </w:rPr>
        <w:t>4.16.1 Scenario 1 — A New West African Farmer Signs Up and Sees a Localised Dashboard</w:t>
      </w:r>
    </w:p>
    <w:p>
      <w:pPr/>
      <w:r>
        <w:rPr>
          <w:rFonts w:ascii="Times New Roman" w:hAnsi="Times New Roman"/>
          <w:sz w:val="28"/>
        </w:rPr>
        <w:t>A prospective farmer in Kumasi, Ghana, opens AgriFlow for the first time, signs up selecting Ghana as country, mixed as farm type and hectares as area unit, and expects the Dashboard and every module to be pre-loaded with Ghanaian crops, livestock, prices, alerts, learning modules, and currency. This scenario deliberately uses Ghana (rather than the Nigeria entry used elsewhere) to demonstrate that the country-as-onboarding-pivot design is not Nigeria-centric: any West African country registered in COUNTRY_REGISTRY yields an equivalently localised experience through the same code path.</w:t>
      </w:r>
    </w:p>
    <w:p>
      <w:pPr>
        <w:pStyle w:val="Heading4"/>
      </w:pPr>
      <w:r>
        <w:rPr>
          <w:rFonts w:ascii="Times New Roman" w:hAnsi="Times New Roman"/>
          <w:b/>
          <w:sz w:val="28"/>
        </w:rPr>
        <w:t>Initial Conditions</w:t>
      </w:r>
    </w:p>
    <w:p>
      <w:pPr/>
      <w:r>
        <w:rPr>
          <w:rFonts w:ascii="Times New Roman" w:hAnsi="Times New Roman"/>
          <w:sz w:val="28"/>
        </w:rPr>
        <w:t>Clean browser profile (localStorage cleared), modern Chromium browser.</w:t>
      </w:r>
    </w:p>
    <w:p>
      <w:pPr/>
      <w:r>
        <w:rPr>
          <w:rFonts w:ascii="Times New Roman" w:hAnsi="Times New Roman"/>
          <w:sz w:val="28"/>
        </w:rPr>
        <w:t>.env.local present with a valid VITE_GEMINI_API_KEY, no NVIDIA key.</w:t>
      </w:r>
    </w:p>
    <w:p>
      <w:pPr/>
      <w:r>
        <w:rPr>
          <w:rFonts w:ascii="Times New Roman" w:hAnsi="Times New Roman"/>
          <w:sz w:val="28"/>
        </w:rPr>
        <w:t>Geolocation permission not yet granted or denied.</w:t>
      </w:r>
    </w:p>
    <w:p>
      <w:pPr>
        <w:pStyle w:val="Heading4"/>
      </w:pPr>
      <w:r>
        <w:rPr>
          <w:rFonts w:ascii="Times New Roman" w:hAnsi="Times New Roman"/>
          <w:b/>
          <w:sz w:val="28"/>
        </w:rPr>
        <w:t>Step-by-Step Actions</w:t>
      </w:r>
    </w:p>
    <w:p>
      <w:pPr/>
      <w:r>
        <w:rPr>
          <w:rFonts w:ascii="Times New Roman" w:hAnsi="Times New Roman"/>
          <w:sz w:val="28"/>
        </w:rPr>
        <w:t>1. Open http://localhost:3000 in the browser.</w:t>
      </w:r>
    </w:p>
    <w:p>
      <w:pPr/>
      <w:r>
        <w:rPr>
          <w:rFonts w:ascii="Times New Roman" w:hAnsi="Times New Roman"/>
          <w:sz w:val="28"/>
        </w:rPr>
        <w:t>2. Click Get Started to dismiss the landing page.</w:t>
      </w:r>
    </w:p>
    <w:p>
      <w:pPr/>
      <w:r>
        <w:rPr>
          <w:rFonts w:ascii="Times New Roman" w:hAnsi="Times New Roman"/>
          <w:sz w:val="28"/>
        </w:rPr>
        <w:t>3. In the auth modal, switch to Create Account.</w:t>
      </w:r>
    </w:p>
    <w:p>
      <w:pPr/>
      <w:r>
        <w:rPr>
          <w:rFonts w:ascii="Times New Roman" w:hAnsi="Times New Roman"/>
          <w:sz w:val="28"/>
        </w:rPr>
        <w:t>4. Enter name 'Test Farmer', email 'test@agriflow.app', password 'demo1234', confirm 'demo1234'.</w:t>
      </w:r>
    </w:p>
    <w:p>
      <w:pPr/>
      <w:r>
        <w:rPr>
          <w:rFonts w:ascii="Times New Roman" w:hAnsi="Times New Roman"/>
          <w:sz w:val="28"/>
        </w:rPr>
        <w:t>5. Open the country selector, search 'Ghana', select the Ghanaian flag entry.</w:t>
      </w:r>
    </w:p>
    <w:p>
      <w:pPr/>
      <w:r>
        <w:rPr>
          <w:rFonts w:ascii="Times New Roman" w:hAnsi="Times New Roman"/>
          <w:sz w:val="28"/>
        </w:rPr>
        <w:t>6. Select the 'Mixed' farm type chip. Leave farm size at the default. Enter phone '+2335012345678' and location 'Kumasi'.</w:t>
      </w:r>
    </w:p>
    <w:p>
      <w:pPr/>
      <w:r>
        <w:rPr>
          <w:rFonts w:ascii="Times New Roman" w:hAnsi="Times New Roman"/>
          <w:sz w:val="28"/>
        </w:rPr>
        <w:t>7. Click Create Account.</w:t>
      </w:r>
    </w:p>
    <w:p>
      <w:pPr>
        <w:pStyle w:val="Heading4"/>
      </w:pPr>
      <w:r>
        <w:rPr>
          <w:rFonts w:ascii="Times New Roman" w:hAnsi="Times New Roman"/>
          <w:b/>
          <w:sz w:val="28"/>
        </w:rPr>
        <w:t>Expected Output</w:t>
      </w:r>
    </w:p>
    <w:p>
      <w:pPr/>
      <w:r>
        <w:rPr>
          <w:rFonts w:ascii="Times New Roman" w:hAnsi="Times New Roman"/>
          <w:sz w:val="28"/>
        </w:rPr>
        <w:t>After an 800 ms simulated handshake, the app navigates to the Dashboard. The header shows the user's name and the 'Farmer' role. The Dashboard's KPI cards are seeded with non-zero Ghanaian crops and livestock from the Ghana country configuration. The weather card shows Kumasi-area defaults. Market prices are rendered in Ghana Cedis (GH₵). The Planting Calendar pre-selects the tropical_wet_dry climate zone. A welcome toast appears: 'Welcome, Test Farmer! Your Ghana dashboard is ready.'</w:t>
      </w:r>
    </w:p>
    <w:p>
      <w:pPr>
        <w:pStyle w:val="Heading4"/>
      </w:pPr>
      <w:r>
        <w:rPr>
          <w:rFonts w:ascii="Times New Roman" w:hAnsi="Times New Roman"/>
          <w:b/>
          <w:sz w:val="28"/>
        </w:rPr>
        <w:t>Actual Output</w:t>
      </w:r>
    </w:p>
    <w:p>
      <w:pPr/>
      <w:r>
        <w:rPr>
          <w:rFonts w:ascii="Times New Roman" w:hAnsi="Times New Roman"/>
          <w:sz w:val="28"/>
        </w:rPr>
        <w:t>Figure 4.21 shows the Dashboard immediately after sign-up. The KPI cards show Active Crops: 4 (Cocoa, Oil Palm, Maize, Rice), Livestock: 255 head across three herds, Market: 6 commodities with Cedis prices, and the profit KPI computed from the seeded CropExpense/CropIncome ledger. The weather card shows Kumasi tropical-wet-dry defaults. The toast reads 'Welcome, Test Farmer! Your Ghana dashboard is ready.' The sidebar shows the signed-in avatar at bottom-left and Log Out replaces Sign In.</w:t>
      </w:r>
    </w:p>
    <w:p>
      <w:pPr>
        <w:spacing w:before="40" w:after="80" w:line="360" w:lineRule="auto"/>
        <w:jc w:val="center"/>
      </w:pPr>
      <w:r>
        <w:rPr>
          <w:rFonts w:ascii="Times New Roman" w:hAnsi="Times New Roman"/>
          <w:i/>
          <w:sz w:val="22"/>
        </w:rPr>
        <w:t>Figure 4.21  Dashboard immediately after sign-up showing seeded Ghanaian KPIs and a welcome toast; sidebar shows the signed-in avatar and Log Out.</w:t>
      </w:r>
    </w:p>
    <w:p>
      <w:pPr>
        <w:pStyle w:val="Heading4"/>
      </w:pPr>
      <w:r>
        <w:rPr>
          <w:rFonts w:ascii="Times New Roman" w:hAnsi="Times New Roman"/>
          <w:b/>
          <w:sz w:val="28"/>
        </w:rPr>
        <w:t>Pass/Fail Assessment</w:t>
      </w:r>
    </w:p>
    <w:p>
      <w:pPr/>
      <w:r>
        <w:rPr>
          <w:rFonts w:ascii="Times New Roman" w:hAnsi="Times New Roman"/>
          <w:sz w:val="28"/>
        </w:rPr>
        <w:t>PASS. Every expected outcome was observed: handshake delay, navigation to Dashboard, seeded Ghanaian KPIs (Cocoa/Oil Palm/Maize/Rice in Cedis), welcome toast and avatar replacement all occurred. Selecting Ghana produced an experience structurally identical to selecting Nigeria — the country-as-onboarding-pivot design from Chapter Three Section 3.2.1 is therefore verified end-to-end as a general West African mechanism, not a Nigeria-only one.</w:t>
      </w:r>
    </w:p>
    <w:p>
      <w:pPr>
        <w:pStyle w:val="Heading3"/>
      </w:pPr>
      <w:r>
        <w:rPr>
          <w:rFonts w:ascii="Times New Roman" w:hAnsi="Times New Roman"/>
          <w:b/>
          <w:sz w:val="28"/>
        </w:rPr>
        <w:t>4.16.2 Scenario 2 — The Farmer Scans a Diseased Maize Leaf and Applies the Recommendation</w:t>
      </w:r>
    </w:p>
    <w:p>
      <w:pPr/>
      <w:r>
        <w:rPr>
          <w:rFonts w:ascii="Times New Roman" w:hAnsi="Times New Roman"/>
          <w:sz w:val="28"/>
        </w:rPr>
        <w:t>A farmer with a Maize plot in the Crop Manager suspects Fall Armyworm or nitrogen deficiency. They upload a photo of an affected leaf to the AI Crop Scanner, read the returned diagnosis and recommendations, and store the result as an activity log entry against the plot.</w:t>
      </w:r>
    </w:p>
    <w:p>
      <w:pPr>
        <w:pStyle w:val="Heading4"/>
      </w:pPr>
      <w:r>
        <w:rPr>
          <w:rFonts w:ascii="Times New Roman" w:hAnsi="Times New Roman"/>
          <w:b/>
          <w:sz w:val="28"/>
        </w:rPr>
        <w:t>Initial Conditions</w:t>
      </w:r>
    </w:p>
    <w:p>
      <w:pPr/>
      <w:r>
        <w:rPr>
          <w:rFonts w:ascii="Times New Roman" w:hAnsi="Times New Roman"/>
          <w:sz w:val="28"/>
        </w:rPr>
        <w:t>Signed in (scenario 1 state Ghana).</w:t>
      </w:r>
    </w:p>
    <w:p>
      <w:pPr/>
      <w:r>
        <w:rPr>
          <w:rFonts w:ascii="Times New Roman" w:hAnsi="Times New Roman"/>
          <w:sz w:val="28"/>
        </w:rPr>
        <w:t>A Maize plot registered in the Crop Manager with status 'Needs Attention'.</w:t>
      </w:r>
    </w:p>
    <w:p>
      <w:pPr/>
      <w:r>
        <w:rPr>
          <w:rFonts w:ascii="Times New Roman" w:hAnsi="Times New Roman"/>
          <w:sz w:val="28"/>
        </w:rPr>
        <w:t>.env.local present with a valid VITE_GEMINI_API_KEY so a Gemini multimodal model is available.</w:t>
      </w:r>
    </w:p>
    <w:p>
      <w:pPr>
        <w:pStyle w:val="Heading4"/>
      </w:pPr>
      <w:r>
        <w:rPr>
          <w:rFonts w:ascii="Times New Roman" w:hAnsi="Times New Roman"/>
          <w:b/>
          <w:sz w:val="28"/>
        </w:rPr>
        <w:t>Step-by-Step Actions</w:t>
      </w:r>
    </w:p>
    <w:p>
      <w:pPr/>
      <w:r>
        <w:rPr>
          <w:rFonts w:ascii="Times New Roman" w:hAnsi="Times New Roman"/>
          <w:sz w:val="28"/>
        </w:rPr>
        <w:t>1. Click 'My Crops' in the sidebar.</w:t>
      </w:r>
    </w:p>
    <w:p>
      <w:pPr/>
      <w:r>
        <w:rPr>
          <w:rFonts w:ascii="Times New Roman" w:hAnsi="Times New Roman"/>
          <w:sz w:val="28"/>
        </w:rPr>
        <w:t>2. Click the Menu (three dots) on the Maize plot and select 'Scan with AI'.</w:t>
      </w:r>
    </w:p>
    <w:p>
      <w:pPr/>
      <w:r>
        <w:rPr>
          <w:rFonts w:ascii="Times New Roman" w:hAnsi="Times New Roman"/>
          <w:sz w:val="28"/>
        </w:rPr>
        <w:t>3. Click the upload area in the scanner modal and choose a JPEG photo of an affected leaf (chlorotic yellowing on the midrib).</w:t>
      </w:r>
    </w:p>
    <w:p>
      <w:pPr/>
      <w:r>
        <w:rPr>
          <w:rFonts w:ascii="Times New Roman" w:hAnsi="Times New Roman"/>
          <w:sz w:val="28"/>
        </w:rPr>
        <w:t>4. Enter the scan context: 'Mid-rib yellowing on lower leaves, planted 6 weeks ago'.</w:t>
      </w:r>
    </w:p>
    <w:p>
      <w:pPr/>
      <w:r>
        <w:rPr>
          <w:rFonts w:ascii="Times New Roman" w:hAnsi="Times New Roman"/>
          <w:sz w:val="28"/>
        </w:rPr>
        <w:t>5. Click 'Run Analysis'.</w:t>
      </w:r>
    </w:p>
    <w:p>
      <w:pPr/>
      <w:r>
        <w:rPr>
          <w:rFonts w:ascii="Times New Roman" w:hAnsi="Times New Roman"/>
          <w:sz w:val="28"/>
        </w:rPr>
        <w:t>6. Read the diagnosis. Click 'Save to Log'.</w:t>
      </w:r>
    </w:p>
    <w:p>
      <w:pPr>
        <w:pStyle w:val="Heading4"/>
      </w:pPr>
      <w:r>
        <w:rPr>
          <w:rFonts w:ascii="Times New Roman" w:hAnsi="Times New Roman"/>
          <w:b/>
          <w:sz w:val="28"/>
        </w:rPr>
        <w:t>Expected Output</w:t>
      </w:r>
    </w:p>
    <w:p>
      <w:pPr/>
      <w:r>
        <w:rPr>
          <w:rFonts w:ascii="Times New Roman" w:hAnsi="Times New Roman"/>
          <w:sz w:val="28"/>
        </w:rPr>
        <w:t>The scanner shows the uploaded image, an analysing spinner for several seconds, then a structured diagnosis (for example, 'Nitrogen Deficiency') with an Indicators bullet list and a Recommendation block referencing split-dose urea or foliar application. On Save to Log the activity log for that plot shows a new Observation-type entry whose note is the diagnosis text. A toast 'Activity log saved' appears.</w:t>
      </w:r>
    </w:p>
    <w:p>
      <w:pPr>
        <w:pStyle w:val="Heading4"/>
      </w:pPr>
      <w:r>
        <w:rPr>
          <w:rFonts w:ascii="Times New Roman" w:hAnsi="Times New Roman"/>
          <w:b/>
          <w:sz w:val="28"/>
        </w:rPr>
        <w:t>Actual Output</w:t>
      </w:r>
    </w:p>
    <w:p>
      <w:pPr/>
      <w:r>
        <w:rPr>
          <w:rFonts w:ascii="Times New Roman" w:hAnsi="Times New Roman"/>
          <w:sz w:val="28"/>
        </w:rPr>
        <w:t>Figure 4.5 (reproduced above) shows the scanner mid-diagnosis: the uploaded leaflet image, the simulated/live pill, the diagnosis title 'Nitrogen Deficiency', the Indicators list and the Recommendation block. Figure 4.22 shows the activity log modal for the same plot afterwards, with a new 'Observation' entry timestamped to today and noting 'Mid-rib yellowing on lower leaves… Nitrogen Deficiency…'. A toast 'Activity log saved' appeared as expected.</w:t>
      </w:r>
    </w:p>
    <w:p>
      <w:pPr>
        <w:spacing w:before="40" w:after="80" w:line="360" w:lineRule="auto"/>
        <w:jc w:val="center"/>
      </w:pPr>
      <w:r>
        <w:rPr>
          <w:rFonts w:ascii="Times New Roman" w:hAnsi="Times New Roman"/>
          <w:i/>
          <w:sz w:val="22"/>
        </w:rPr>
        <w:t>Figure 4.22  Crop activity log modal showing the AI diagnosis saved as a new 'Observation' entry, timestamped to today.</w:t>
      </w:r>
    </w:p>
    <w:p>
      <w:pPr>
        <w:pStyle w:val="Heading4"/>
      </w:pPr>
      <w:r>
        <w:rPr>
          <w:rFonts w:ascii="Times New Roman" w:hAnsi="Times New Roman"/>
          <w:b/>
          <w:sz w:val="28"/>
        </w:rPr>
        <w:t>Pass/Fail Assessment</w:t>
      </w:r>
    </w:p>
    <w:p>
      <w:pPr/>
      <w:r>
        <w:rPr>
          <w:rFonts w:ascii="Times New Roman" w:hAnsi="Times New Roman"/>
          <w:sz w:val="28"/>
        </w:rPr>
        <w:t>PASS. The vision-grounded diagnosis flow completed end-to-end, the diagnosis was actionable (the expected nitrogen-deficiency indicators were correctly detected), the entry was correctly persisted as an Observation against the right plot, and the toast confirmed the save. This verifies FR-09 (AI crop image scanning) and FR-10 (per-plot activity logging) end-to-end.</w:t>
      </w:r>
    </w:p>
    <w:p>
      <w:pPr>
        <w:pStyle w:val="Heading3"/>
      </w:pPr>
      <w:r>
        <w:rPr>
          <w:rFonts w:ascii="Times New Roman" w:hAnsi="Times New Roman"/>
          <w:b/>
          <w:sz w:val="28"/>
        </w:rPr>
        <w:t>4.16.3 Scenario 3 — The Farmer Holds a Live Voice Consultation and Navigates by Voice</w:t>
      </w:r>
    </w:p>
    <w:p>
      <w:pPr/>
      <w:r>
        <w:rPr>
          <w:rFonts w:ascii="Times New Roman" w:hAnsi="Times New Roman"/>
          <w:sz w:val="28"/>
        </w:rPr>
        <w:t>The farmer wants to ask the AI a question about Fall Armyworm scouting and then navigate to the Market view — both without touching the keyboard. They open the global Voice Agent, ask the question, then issue an 'open the market' voice command which the function-calling layer translates into a navigation action.</w:t>
      </w:r>
    </w:p>
    <w:p>
      <w:pPr>
        <w:pStyle w:val="Heading4"/>
      </w:pPr>
      <w:r>
        <w:rPr>
          <w:rFonts w:ascii="Times New Roman" w:hAnsi="Times New Roman"/>
          <w:b/>
          <w:sz w:val="28"/>
        </w:rPr>
        <w:t>Initial Conditions</w:t>
      </w:r>
    </w:p>
    <w:p>
      <w:pPr/>
      <w:r>
        <w:rPr>
          <w:rFonts w:ascii="Times New Roman" w:hAnsi="Times New Roman"/>
          <w:sz w:val="28"/>
        </w:rPr>
        <w:t>Signed in (scenario 1 state Ghana).</w:t>
      </w:r>
    </w:p>
    <w:p>
      <w:pPr/>
      <w:r>
        <w:rPr>
          <w:rFonts w:ascii="Times New Roman" w:hAnsi="Times New Roman"/>
          <w:sz w:val="28"/>
        </w:rPr>
        <w:t>.env.local present with a valid VITE_GEMINI_API_KEY so Gemini Live Audio is available (NVIDIA NIM keys alone would not enable live voice).</w:t>
      </w:r>
    </w:p>
    <w:p>
      <w:pPr/>
      <w:r>
        <w:rPr>
          <w:rFonts w:ascii="Times New Roman" w:hAnsi="Times New Roman"/>
          <w:sz w:val="28"/>
        </w:rPr>
        <w:t>Microphone permission not yet granted.</w:t>
      </w:r>
    </w:p>
    <w:p>
      <w:pPr>
        <w:pStyle w:val="Heading4"/>
      </w:pPr>
      <w:r>
        <w:rPr>
          <w:rFonts w:ascii="Times New Roman" w:hAnsi="Times New Roman"/>
          <w:b/>
          <w:sz w:val="28"/>
        </w:rPr>
        <w:t>Step-by-Step Actions</w:t>
      </w:r>
    </w:p>
    <w:p>
      <w:pPr/>
      <w:r>
        <w:rPr>
          <w:rFonts w:ascii="Times New Roman" w:hAnsi="Times New Roman"/>
          <w:sz w:val="28"/>
        </w:rPr>
        <w:t>1. Click the floating Voice Agent button (bottom-right).</w:t>
      </w:r>
    </w:p>
    <w:p>
      <w:pPr/>
      <w:r>
        <w:rPr>
          <w:rFonts w:ascii="Times New Roman" w:hAnsi="Times New Roman"/>
          <w:sz w:val="28"/>
        </w:rPr>
        <w:t>2. Grant microphone permission when prompted.</w:t>
      </w:r>
    </w:p>
    <w:p>
      <w:pPr/>
      <w:r>
        <w:rPr>
          <w:rFonts w:ascii="Times New Roman" w:hAnsi="Times New Roman"/>
          <w:sz w:val="28"/>
        </w:rPr>
        <w:t>3. Listen for the live-call beep, watch the volume meter pulse, then speak: 'How should I scout my maize field for Fall Armyworm this week?'</w:t>
      </w:r>
    </w:p>
    <w:p>
      <w:pPr/>
      <w:r>
        <w:rPr>
          <w:rFonts w:ascii="Times New Roman" w:hAnsi="Times New Roman"/>
          <w:sz w:val="28"/>
        </w:rPr>
        <w:t>4. Listen to the spoken response. Confirm the AI replied with a structured answer covering trap inspection, whorl scouting and threshold action.</w:t>
      </w:r>
    </w:p>
    <w:p>
      <w:pPr/>
      <w:r>
        <w:rPr>
          <w:rFonts w:ascii="Times New Roman" w:hAnsi="Times New Roman"/>
          <w:sz w:val="28"/>
        </w:rPr>
        <w:t>5. Speak: 'Open the market view.'</w:t>
      </w:r>
    </w:p>
    <w:p>
      <w:pPr/>
      <w:r>
        <w:rPr>
          <w:rFonts w:ascii="Times New Roman" w:hAnsi="Times New Roman"/>
          <w:sz w:val="28"/>
        </w:rPr>
        <w:t>6. Observe the app navigating to the Market Analytics tab.</w:t>
      </w:r>
    </w:p>
    <w:p>
      <w:pPr/>
      <w:r>
        <w:rPr>
          <w:rFonts w:ascii="Times New Roman" w:hAnsi="Times New Roman"/>
          <w:sz w:val="28"/>
        </w:rPr>
        <w:t>7. Click the floating button again to end the call.</w:t>
      </w:r>
    </w:p>
    <w:p>
      <w:pPr>
        <w:pStyle w:val="Heading4"/>
      </w:pPr>
      <w:r>
        <w:rPr>
          <w:rFonts w:ascii="Times New Roman" w:hAnsi="Times New Roman"/>
          <w:b/>
          <w:sz w:val="28"/>
        </w:rPr>
        <w:t>Expected Output</w:t>
      </w:r>
    </w:p>
    <w:p>
      <w:pPr/>
      <w:r>
        <w:rPr>
          <w:rFonts w:ascii="Times New Roman" w:hAnsi="Times New Roman"/>
          <w:sz w:val="28"/>
        </w:rPr>
        <w:t>The Voice Agent panel opens, the microphone permission prompt appears, the call connects with a beep and the volume meter pulses on both inbound and outbound audio. The spoken reply references Fall Armyworm scouting steps. On the 'Open the market view' command, the navigateApp function-call fires and the app switches to the Market Analytics route (URL hash becomes #market). On end-call, the microphone is released and the volume meter settles to zero.</w:t>
      </w:r>
    </w:p>
    <w:p>
      <w:pPr>
        <w:pStyle w:val="Heading4"/>
      </w:pPr>
      <w:r>
        <w:rPr>
          <w:rFonts w:ascii="Times New Roman" w:hAnsi="Times New Roman"/>
          <w:b/>
          <w:sz w:val="28"/>
        </w:rPr>
        <w:t>Actual Output</w:t>
      </w:r>
    </w:p>
    <w:p>
      <w:pPr/>
      <w:r>
        <w:rPr>
          <w:rFonts w:ascii="Times New Roman" w:hAnsi="Times New Roman"/>
          <w:sz w:val="28"/>
        </w:rPr>
        <w:t>Figure 4.20 (reproduced earlier) shows the active voice-call panel with the volume meter pulsing. Figure 4.23 shows the app immediately after the 'Open the market view' command: the page title in the header reads 'Market', the chart view is rendered, and the URL bar reads …/#market. The sidebar's active rail is on the Market item. The microphone was released immediately on end-call (verified in DevTools → Application → Camera &amp; Mic, no lingering capture indicator).</w:t>
      </w:r>
    </w:p>
    <w:p>
      <w:pPr>
        <w:spacing w:before="40" w:after="80" w:line="360" w:lineRule="auto"/>
        <w:jc w:val="center"/>
      </w:pPr>
      <w:r>
        <w:rPr>
          <w:rFonts w:ascii="Times New Roman" w:hAnsi="Times New Roman"/>
          <w:i/>
          <w:sz w:val="22"/>
        </w:rPr>
        <w:t>Figure 4.23  Market Analytics view reached via the Voice Agent's 'Open the market view' command; URL hash reads #market and sidebar active rail is on Market.</w:t>
      </w:r>
    </w:p>
    <w:p>
      <w:pPr>
        <w:pStyle w:val="Heading4"/>
      </w:pPr>
      <w:r>
        <w:rPr>
          <w:rFonts w:ascii="Times New Roman" w:hAnsi="Times New Roman"/>
          <w:b/>
          <w:sz w:val="28"/>
        </w:rPr>
        <w:t>Pass/Fail Assessment</w:t>
      </w:r>
    </w:p>
    <w:p>
      <w:pPr/>
      <w:r>
        <w:rPr>
          <w:rFonts w:ascii="Times New Roman" w:hAnsi="Times New Roman"/>
          <w:sz w:val="28"/>
        </w:rPr>
        <w:t>PASS. Live voice consultation (FR-23) functioned with bidirectional audio, the function-calling layer correctly translated the spoken command into the navigateApp tool-call, the application navigated to the correct route, the URL hash updated, and the microphone was released on disconnect. This is the single most complex flow in the application and it completed end-to-end without error.</w:t>
      </w:r>
    </w:p>
    <w:p>
      <w:pPr>
        <w:pStyle w:val="Heading2"/>
      </w:pPr>
      <w:r>
        <w:rPr>
          <w:rFonts w:ascii="Times New Roman" w:hAnsi="Times New Roman"/>
          <w:b/>
          <w:sz w:val="28"/>
        </w:rPr>
        <w:t>4.17 Summary</w:t>
      </w:r>
    </w:p>
    <w:p>
      <w:pPr/>
      <w:r>
        <w:rPr>
          <w:rFonts w:ascii="Times New Roman" w:hAnsi="Times New Roman"/>
          <w:sz w:val="28"/>
        </w:rPr>
        <w:t>This chapter has walked through every major module of the AgriFlow artefact, stating for each the user needs addressed, the key technical decisions and their rationale, the security measures actually implemented within the module, and references to the appendix code. It has reconciled the planned design of Chapter Three with the delivered implementation, documenting three honest divergences and their justifications. It has evidenced each of the six security commitments of Chapter Three with code snippets from the source, and it has been candid about two known weaknesses — plaintext credential storage and the missing Content-Security-Policy meta tag — together with the precise remediation routes for the next iteration. Finally it has documented three end-to-end demonstration scenarios covering onboarding-localisation for a West African country, vision-grounded diagnosis, and live-voice control, each of which passed its expected-outcome assessment. The implementation therefore satisfies the design set out in Chapter Three, modulo the three documented divergences, and is ready for the formal evaluation that follows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line="360" w:lineRule="auto"/>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80" w:after="40" w:line="360" w:lineRule="auto"/>
      <w:outlineLvl w:val="3"/>
    </w:pPr>
    <w:rPr>
      <w:rFonts w:asciiTheme="majorHAnsi" w:eastAsiaTheme="majorEastAsia" w:hAnsiTheme="majorHAnsi" w:cstheme="majorBidi" w:ascii="Times New Roman" w:hAnsi="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