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595959"/>
          <w:sz w:val="24"/>
          <w:szCs w:val="24"/>
        </w:rPr>
        <w:t xml:space="preserve">PES University – Dept. of CSE</w:t>
      </w:r>
    </w:p>
    <w:p>
      <w:pPr>
        <w:spacing w:after="60"/>
        <w:jc w:val="center"/>
      </w:pPr>
      <w:r>
        <w:rPr>
          <w:b/>
          <w:bCs/>
          <w:color w:val="1F3864"/>
          <w:sz w:val="32"/>
          <w:szCs w:val="32"/>
        </w:rPr>
        <w:t xml:space="preserve">Lab 1: Use-Case Flow Specification</w:t>
      </w:r>
    </w:p>
    <w:p>
      <w:pPr>
        <w:spacing w:after="250"/>
        <w:jc w:val="center"/>
      </w:pPr>
      <w:r>
        <w:rPr>
          <w:i/>
          <w:iCs/>
          <w:sz w:val="20"/>
          <w:szCs w:val="20"/>
        </w:rPr>
        <w:t xml:space="preserve">Problem Statement #40 — Student Startup Crowdfunding Platform | Submitted by: Sambhram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8240"/>
      </w:tblGrid>
      <w:tr>
        <w:tc>
          <w:tcPr>
            <w:tcW w:type="dxa" w:w="2200"/>
            <w:shd w:fill="DCE6F1" w:val="clear"/>
            <w:tcMar>
              <w:top w:type="dxa" w:w="60"/>
              <w:left w:type="dxa" w:w="100"/>
              <w:bottom w:type="dxa" w:w="60"/>
              <w:right w:type="dxa" w:w="100"/>
            </w:tcMar>
            <w:vAlign w:val="top"/>
          </w:tcPr>
          <w:p>
            <w:r>
              <w:rPr>
                <w:b/>
                <w:bCs/>
                <w:sz w:val="20"/>
                <w:szCs w:val="20"/>
              </w:rPr>
              <w:t xml:space="preserve">Use Case</w:t>
            </w:r>
          </w:p>
        </w:tc>
        <w:tc>
          <w:tcPr>
            <w:tcW w:type="dxa" w:w="8240"/>
            <w:shd w:fill="DCE6F1" w:val="clear"/>
            <w:tcMar>
              <w:top w:type="dxa" w:w="60"/>
              <w:left w:type="dxa" w:w="100"/>
              <w:bottom w:type="dxa" w:w="60"/>
              <w:right w:type="dxa" w:w="100"/>
            </w:tcMar>
            <w:vAlign w:val="top"/>
          </w:tcPr>
          <w:p>
            <w:r>
              <w:rPr>
                <w:b/>
                <w:bCs/>
                <w:sz w:val="20"/>
                <w:szCs w:val="20"/>
              </w:rPr>
              <w:t xml:space="preserve">UC-07: Release Fund Tranche upon Milestone Verification</w:t>
            </w:r>
          </w:p>
        </w:tc>
      </w:tr>
      <w:tr>
        <w:tc>
          <w:tcPr>
            <w:tcW w:type="dxa" w:w="2200"/>
            <w:tcMar>
              <w:top w:type="dxa" w:w="60"/>
              <w:left w:type="dxa" w:w="100"/>
              <w:bottom w:type="dxa" w:w="60"/>
              <w:right w:type="dxa" w:w="100"/>
            </w:tcMar>
            <w:vAlign w:val="top"/>
          </w:tcPr>
          <w:p>
            <w:r>
              <w:rPr>
                <w:b/>
                <w:bCs/>
                <w:sz w:val="20"/>
                <w:szCs w:val="20"/>
              </w:rPr>
              <w:t xml:space="preserve">Primary Actor</w:t>
            </w:r>
          </w:p>
        </w:tc>
        <w:tc>
          <w:tcPr>
            <w:tcW w:type="dxa" w:w="8240"/>
            <w:tcMar>
              <w:top w:type="dxa" w:w="60"/>
              <w:left w:type="dxa" w:w="100"/>
              <w:bottom w:type="dxa" w:w="60"/>
              <w:right w:type="dxa" w:w="100"/>
            </w:tcMar>
            <w:vAlign w:val="top"/>
          </w:tcPr>
          <w:p>
            <w:pPr>
              <w:spacing w:after="40"/>
            </w:pPr>
            <w:r>
              <w:rPr>
                <w:sz w:val="20"/>
                <w:szCs w:val="20"/>
              </w:rPr>
              <w:t xml:space="preserve">Faculty Committee (Reviewer)</w:t>
            </w:r>
          </w:p>
        </w:tc>
      </w:tr>
      <w:tr>
        <w:tc>
          <w:tcPr>
            <w:tcW w:type="dxa" w:w="2200"/>
            <w:shd w:fill="F2F6FB" w:val="clear"/>
            <w:tcMar>
              <w:top w:type="dxa" w:w="60"/>
              <w:left w:type="dxa" w:w="100"/>
              <w:bottom w:type="dxa" w:w="60"/>
              <w:right w:type="dxa" w:w="100"/>
            </w:tcMar>
            <w:vAlign w:val="top"/>
          </w:tcPr>
          <w:p>
            <w:r>
              <w:rPr>
                <w:b/>
                <w:bCs/>
                <w:sz w:val="20"/>
                <w:szCs w:val="20"/>
              </w:rPr>
              <w:t xml:space="preserve">Secondary Actors</w:t>
            </w:r>
          </w:p>
        </w:tc>
        <w:tc>
          <w:tcPr>
            <w:tcW w:type="dxa" w:w="8240"/>
            <w:shd w:fill="F2F6FB" w:val="clear"/>
            <w:tcMar>
              <w:top w:type="dxa" w:w="60"/>
              <w:left w:type="dxa" w:w="100"/>
              <w:bottom w:type="dxa" w:w="60"/>
              <w:right w:type="dxa" w:w="100"/>
            </w:tcMar>
            <w:vAlign w:val="top"/>
          </w:tcPr>
          <w:p>
            <w:pPr>
              <w:spacing w:after="40"/>
            </w:pPr>
            <w:r>
              <w:rPr>
                <w:sz w:val="20"/>
                <w:szCs w:val="20"/>
              </w:rPr>
              <w:t xml:space="preserve">Student Founder, Campaign Backer (as fund recipients/observers), Payment Gateway (external system)</w:t>
            </w:r>
          </w:p>
        </w:tc>
      </w:tr>
      <w:tr>
        <w:tc>
          <w:tcPr>
            <w:tcW w:type="dxa" w:w="2200"/>
            <w:tcMar>
              <w:top w:type="dxa" w:w="60"/>
              <w:left w:type="dxa" w:w="100"/>
              <w:bottom w:type="dxa" w:w="60"/>
              <w:right w:type="dxa" w:w="100"/>
            </w:tcMar>
            <w:vAlign w:val="top"/>
          </w:tcPr>
          <w:p>
            <w:r>
              <w:rPr>
                <w:b/>
                <w:bCs/>
                <w:sz w:val="20"/>
                <w:szCs w:val="20"/>
              </w:rPr>
              <w:t xml:space="preserve">Preconditions</w:t>
            </w:r>
          </w:p>
        </w:tc>
        <w:tc>
          <w:tcPr>
            <w:tcW w:type="dxa" w:w="8240"/>
            <w:tcMar>
              <w:top w:type="dxa" w:w="60"/>
              <w:left w:type="dxa" w:w="100"/>
              <w:bottom w:type="dxa" w:w="60"/>
              <w:right w:type="dxa" w:w="100"/>
            </w:tcMar>
            <w:vAlign w:val="top"/>
          </w:tcPr>
          <w:p>
            <w:pPr>
              <w:spacing w:after="40"/>
            </w:pPr>
            <w:r>
              <w:rPr>
                <w:sz w:val="19"/>
                <w:szCs w:val="19"/>
              </w:rPr>
              <w:t xml:space="preserve">The campaign has reached (or is within) its active funding period and has collected pledges equal to or greater than the milestone's tranche amount, held in escrow.</w:t>
            </w:r>
          </w:p>
          <w:p>
            <w:pPr>
              <w:spacing w:after="40"/>
            </w:pPr>
            <w:r>
              <w:rPr>
                <w:sz w:val="19"/>
                <w:szCs w:val="19"/>
              </w:rPr>
              <w:t xml:space="preserve">A milestone for the campaign has been defined with a due date and a funding tranche amount.</w:t>
            </w:r>
          </w:p>
          <w:p>
            <w:pPr>
              <w:spacing w:after="40"/>
            </w:pPr>
            <w:r>
              <w:rPr>
                <w:sz w:val="19"/>
                <w:szCs w:val="19"/>
              </w:rPr>
              <w:t xml:space="preserve">The Student Founder and at least one Faculty Committee member are registered, authenticated users of the system.</w:t>
            </w:r>
          </w:p>
        </w:tc>
      </w:tr>
      <w:tr>
        <w:tc>
          <w:tcPr>
            <w:tcW w:type="dxa" w:w="2200"/>
            <w:shd w:fill="F2F6FB" w:val="clear"/>
            <w:tcMar>
              <w:top w:type="dxa" w:w="60"/>
              <w:left w:type="dxa" w:w="100"/>
              <w:bottom w:type="dxa" w:w="60"/>
              <w:right w:type="dxa" w:w="100"/>
            </w:tcMar>
            <w:vAlign w:val="top"/>
          </w:tcPr>
          <w:p>
            <w:r>
              <w:rPr>
                <w:b/>
                <w:bCs/>
                <w:sz w:val="20"/>
                <w:szCs w:val="20"/>
              </w:rPr>
              <w:t xml:space="preserve">Postconditions</w:t>
            </w:r>
          </w:p>
        </w:tc>
        <w:tc>
          <w:tcPr>
            <w:tcW w:type="dxa" w:w="8240"/>
            <w:shd w:fill="F2F6FB" w:val="clear"/>
            <w:tcMar>
              <w:top w:type="dxa" w:w="60"/>
              <w:left w:type="dxa" w:w="100"/>
              <w:bottom w:type="dxa" w:w="60"/>
              <w:right w:type="dxa" w:w="100"/>
            </w:tcMar>
            <w:vAlign w:val="top"/>
          </w:tcPr>
          <w:p>
            <w:pPr>
              <w:spacing w:after="40"/>
            </w:pPr>
            <w:r>
              <w:rPr>
                <w:sz w:val="19"/>
                <w:szCs w:val="19"/>
              </w:rPr>
              <w:t xml:space="preserve">The milestone status is updated to “Released” and the corresponding tranche amount is transferred from escrow to the Student Founder's linked payment account.</w:t>
            </w:r>
          </w:p>
          <w:p>
            <w:pPr>
              <w:spacing w:after="40"/>
            </w:pPr>
            <w:r>
              <w:rPr>
                <w:sz w:val="19"/>
                <w:szCs w:val="19"/>
              </w:rPr>
              <w:t xml:space="preserve">The campaign ledger reflects the disbursed amount, and Student Founder and Backers receive a confirmation notification.</w:t>
            </w:r>
          </w:p>
        </w:tc>
      </w:tr>
      <w:tr>
        <w:tc>
          <w:tcPr>
            <w:tcW w:type="dxa" w:w="2200"/>
            <w:tcMar>
              <w:top w:type="dxa" w:w="60"/>
              <w:left w:type="dxa" w:w="100"/>
              <w:bottom w:type="dxa" w:w="60"/>
              <w:right w:type="dxa" w:w="100"/>
            </w:tcMar>
            <w:vAlign w:val="top"/>
          </w:tcPr>
          <w:p>
            <w:r>
              <w:rPr>
                <w:b/>
                <w:bCs/>
                <w:sz w:val="20"/>
                <w:szCs w:val="20"/>
              </w:rPr>
              <w:t xml:space="preserve">Main Success Scenario</w:t>
            </w:r>
          </w:p>
        </w:tc>
        <w:tc>
          <w:tcPr>
            <w:tcW w:type="dxa" w:w="8240"/>
            <w:tcMar>
              <w:top w:type="dxa" w:w="60"/>
              <w:left w:type="dxa" w:w="100"/>
              <w:bottom w:type="dxa" w:w="60"/>
              <w:right w:type="dxa" w:w="100"/>
            </w:tcMar>
            <w:vAlign w:val="top"/>
          </w:tcPr>
          <w:p>
            <w:pPr>
              <w:spacing w:after="40"/>
            </w:pPr>
            <w:r>
              <w:rPr>
                <w:sz w:val="19"/>
                <w:szCs w:val="19"/>
              </w:rPr>
              <w:t xml:space="preserve">1. Student Founder submits milestone-completion evidence (documents, media, or a progress report) through the system.</w:t>
            </w:r>
          </w:p>
          <w:p>
            <w:pPr>
              <w:spacing w:after="40"/>
            </w:pPr>
            <w:r>
              <w:rPr>
                <w:sz w:val="19"/>
                <w:szCs w:val="19"/>
              </w:rPr>
              <w:t xml:space="preserve">2. System validates that the submission is complete and forwards it to the assigned Faculty Committee member(s) for review, and sends a review-pending notification.</w:t>
            </w:r>
          </w:p>
          <w:p>
            <w:pPr>
              <w:spacing w:after="40"/>
            </w:pPr>
            <w:r>
              <w:rPr>
                <w:sz w:val="19"/>
                <w:szCs w:val="19"/>
              </w:rPr>
              <w:t xml:space="preserve">3. Faculty Committee member logs in and opens the milestone evidence review screen for the campaign.</w:t>
            </w:r>
          </w:p>
          <w:p>
            <w:pPr>
              <w:spacing w:after="40"/>
            </w:pPr>
            <w:r>
              <w:rPr>
                <w:sz w:val="19"/>
                <w:szCs w:val="19"/>
              </w:rPr>
              <w:t xml:space="preserve">4. Faculty Committee member evaluates the evidence against the milestone's predefined completion criteria.</w:t>
            </w:r>
          </w:p>
          <w:p>
            <w:pPr>
              <w:spacing w:after="40"/>
            </w:pPr>
            <w:r>
              <w:rPr>
                <w:sz w:val="19"/>
                <w:szCs w:val="19"/>
              </w:rPr>
              <w:t xml:space="preserve">5. Faculty Committee member approves the milestone and submits the decision with optional comments.</w:t>
            </w:r>
          </w:p>
          <w:p>
            <w:pPr>
              <w:spacing w:after="40"/>
            </w:pPr>
            <w:r>
              <w:rPr>
                <w:sz w:val="19"/>
                <w:szCs w:val="19"/>
              </w:rPr>
              <w:t xml:space="preserve">6. System verifies that the escrowed pledge balance for the campaign is greater than or equal to the milestone's tranche amount.</w:t>
            </w:r>
          </w:p>
          <w:p>
            <w:pPr>
              <w:spacing w:after="40"/>
            </w:pPr>
            <w:r>
              <w:rPr>
                <w:sz w:val="19"/>
                <w:szCs w:val="19"/>
              </w:rPr>
              <w:t xml:space="preserve">7. System invokes the «include» Process Payment use case (UC-04) to disburse the tranche to the Student Founder's linked payment account via the Payment Gateway.</w:t>
            </w:r>
          </w:p>
          <w:p>
            <w:pPr>
              <w:spacing w:after="40"/>
            </w:pPr>
            <w:r>
              <w:rPr>
                <w:sz w:val="19"/>
                <w:szCs w:val="19"/>
              </w:rPr>
              <w:t xml:space="preserve">8. Payment Gateway authorizes and completes the transaction, returning a confirmation to the system.</w:t>
            </w:r>
          </w:p>
          <w:p>
            <w:pPr>
              <w:spacing w:after="40"/>
            </w:pPr>
            <w:r>
              <w:rPr>
                <w:sz w:val="19"/>
                <w:szCs w:val="19"/>
              </w:rPr>
              <w:t xml:space="preserve">9. System updates the milestone status to “Released,” updates the campaign ledger, and generates confirmation notifications to the Student Founder and all Backers.</w:t>
            </w:r>
          </w:p>
          <w:p>
            <w:pPr>
              <w:spacing w:after="40"/>
            </w:pPr>
            <w:r>
              <w:rPr>
                <w:sz w:val="19"/>
                <w:szCs w:val="19"/>
              </w:rPr>
              <w:t xml:space="preserve">10. Use case ends successfully.</w:t>
            </w:r>
          </w:p>
        </w:tc>
      </w:tr>
      <w:tr>
        <w:tc>
          <w:tcPr>
            <w:tcW w:type="dxa" w:w="2200"/>
            <w:shd w:fill="F2F6FB" w:val="clear"/>
            <w:tcMar>
              <w:top w:type="dxa" w:w="60"/>
              <w:left w:type="dxa" w:w="100"/>
              <w:bottom w:type="dxa" w:w="60"/>
              <w:right w:type="dxa" w:w="100"/>
            </w:tcMar>
            <w:vAlign w:val="top"/>
          </w:tcPr>
          <w:p>
            <w:r>
              <w:rPr>
                <w:b/>
                <w:bCs/>
                <w:sz w:val="20"/>
                <w:szCs w:val="20"/>
              </w:rPr>
              <w:t xml:space="preserve">Alternate Flow</w:t>
            </w:r>
          </w:p>
        </w:tc>
        <w:tc>
          <w:tcPr>
            <w:tcW w:type="dxa" w:w="8240"/>
            <w:shd w:fill="F2F6FB" w:val="clear"/>
            <w:tcMar>
              <w:top w:type="dxa" w:w="60"/>
              <w:left w:type="dxa" w:w="100"/>
              <w:bottom w:type="dxa" w:w="60"/>
              <w:right w:type="dxa" w:w="100"/>
            </w:tcMar>
            <w:vAlign w:val="top"/>
          </w:tcPr>
          <w:p>
            <w:pPr>
              <w:spacing w:after="40"/>
            </w:pPr>
            <w:r>
              <w:rPr>
                <w:sz w:val="19"/>
                <w:szCs w:val="19"/>
              </w:rPr>
              <w:t xml:space="preserve">5a. Milestone Evidence Rejected</w:t>
            </w:r>
          </w:p>
          <w:p>
            <w:pPr>
              <w:spacing w:after="40"/>
            </w:pPr>
            <w:r>
              <w:rPr>
                <w:sz w:val="19"/>
                <w:szCs w:val="19"/>
              </w:rPr>
              <w:t xml:space="preserve">5a1. Faculty Committee member marks the evidence as insufficient and records comments explaining what is missing.</w:t>
            </w:r>
          </w:p>
          <w:p>
            <w:pPr>
              <w:spacing w:after="40"/>
            </w:pPr>
            <w:r>
              <w:rPr>
                <w:sz w:val="19"/>
                <w:szCs w:val="19"/>
              </w:rPr>
              <w:t xml:space="preserve">5a2. System sets the milestone status to “Revision Requested” and notifies the Student Founder with the reviewer's comments.</w:t>
            </w:r>
          </w:p>
          <w:p>
            <w:pPr>
              <w:spacing w:after="40"/>
            </w:pPr>
            <w:r>
              <w:rPr>
                <w:sz w:val="19"/>
                <w:szCs w:val="19"/>
              </w:rPr>
              <w:t xml:space="preserve">5a3. Student Founder revises and resubmits evidence before the campaign's revision deadline; flow resumes at Main Success Scenario step 3.</w:t>
            </w:r>
          </w:p>
          <w:p>
            <w:pPr>
              <w:spacing w:after="40"/>
            </w:pPr>
            <w:r>
              <w:rPr>
                <w:sz w:val="19"/>
                <w:szCs w:val="19"/>
              </w:rPr>
              <w:t xml:space="preserve">5a4. If the Student Founder does not resubmit within the deadline, the system marks the milestone “Stalled,” withholds the tranche in escrow, notifies all Backers, and the use case ends without fund release.</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2026-08-25T05:49:02.079Z</dcterms:created>
  <dcterms:modified xsi:type="dcterms:W3CDTF">2026-08-25T05:49:02.079Z</dcterms:modified>
</cp:coreProperties>
</file>

<file path=docProps/custom.xml><?xml version="1.0" encoding="utf-8"?>
<Properties xmlns="http://schemas.openxmlformats.org/officeDocument/2006/custom-properties" xmlns:vt="http://schemas.openxmlformats.org/officeDocument/2006/docPropsVTypes"/>
</file>