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0B2545"/>
          <w:sz w:val="22"/>
        </w:rPr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0B2545"/>
          <w:sz w:val="22"/>
        </w:rPr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0B2545"/>
          <w:sz w:val="22"/>
        </w:rPr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0B2545"/>
          <w:sz w:val="22"/>
        </w:rPr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0B2545"/>
          <w:sz w:val="22"/>
        </w:rPr>
      </w:r>
    </w:p>
    <w:p>
      <w:pPr>
        <w:spacing w:before="0" w:after="320" w:line="264" w:lineRule="auto"/>
        <w:jc w:val="center"/>
      </w:pPr>
      <w:r>
        <w:rPr>
          <w:rFonts w:ascii="Calibri" w:hAnsi="Calibri"/>
          <w:b/>
          <w:i w:val="0"/>
          <w:color w:val="7A5A00"/>
          <w:sz w:val="24"/>
        </w:rPr>
        <w:t>PORTFOLIO CONSTRUCTION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0B2545"/>
          <w:sz w:val="60"/>
        </w:rPr>
        <w:t>Prototype Report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2B5163"/>
          <w:sz w:val="30"/>
        </w:rPr>
        <w:t>What it does now and what comes next</w:t>
      </w:r>
    </w:p>
    <w:p>
      <w:pPr>
        <w:spacing w:before="0" w:after="440" w:line="264" w:lineRule="auto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Prepared for Sam &amp; Pat | 09 August 2026</w:t>
      </w:r>
    </w:p>
    <w:p>
      <w:pPr>
        <w:spacing w:before="0" w:after="0" w:line="264" w:lineRule="auto"/>
        <w:jc w:val="center"/>
      </w:pPr>
      <w:r>
        <w:rPr>
          <w:rFonts w:ascii="Calibri" w:hAnsi="Calibri"/>
          <w:b w:val="0"/>
          <w:i/>
          <w:color w:val="0B2545"/>
          <w:sz w:val="22"/>
        </w:rPr>
        <w:t>A transparent research and paper-portfolio prototype. It does not connect to a broker, place trades or promise returns.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tool researches companies in the S&amp;P 500 and Nasdaq-100, checks the quality of the evidence, then builds a 15-company proposed portfolio. Each holding links to a full research report. A separate Current portfolio view highlights price, thesis, audit and allocation changes for review. It never trades automatically.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5200"/>
        <w:gridCol w:w="17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Area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is working now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Status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Research universe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517 companies across the S&amp;P 500 and Nasdaq-100; 192 have current saved research.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Active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Portfolio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15 holdings, no cash, a 50% sector limit and a passed risk check.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Working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 rating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 true 0-100 score. It keeps the differences between companies and includes a small uncertainty deduction, so it never gives a false 100/100 certainty score.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Working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Monitoring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15 positions checked; 11 unchanged and 4 allocation changes flagged for review. Price alone is not a sell signal.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Working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S&amp;P 500 benchmark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The starting observation is saved. A one-month comparison starts after 30 days of records.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Building history</w:t>
            </w:r>
          </w:p>
        </w:tc>
      </w:tr>
    </w:tbl>
    <w:p>
      <w:pPr>
        <w:spacing w:before="80" w:after="160" w:line="264" w:lineRule="auto"/>
      </w:pPr>
      <w:r>
        <w:rPr>
          <w:rFonts w:ascii="Calibri" w:hAnsi="Calibri"/>
          <w:b w:val="0"/>
          <w:i/>
          <w:color w:val="5B6573"/>
          <w:sz w:val="18"/>
        </w:rPr>
        <w:t>Status is based on the latest saved prototype run and is not an investment recommendation.</w:t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What the tool does today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Looks at financials, valuation, business quality, management, competitors, earnings, catalysts, news, market signals and the wider economy.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Checks the evidence and challenges the investment case before a company can be included.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Avoids duplicate company exposure, limits concentration and gives different companies different weights based on return potential, evidence, risk and volatility.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Lets you click a ticker for the investment case, risks, suggested holding period, valuation, catalysts, bot research and audit findings.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Creates monitoring checks using refreshed fundamentals, valuation, technical signals, catalysts, thesis challenge and audit results. Price is shown as context, not as a fixed sell rule. All changes remain prompts for a person to review.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Latest proposed portfolio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5B6573"/>
          <w:sz w:val="20"/>
        </w:rPr>
        <w:t>This is the latest saved allocation. It is not a performance forecast.</w:t>
      </w:r>
    </w:p>
    <w:p>
      <w:r>
        <w:drawing>
          <wp:inline xmlns:a="http://schemas.openxmlformats.org/drawingml/2006/main" xmlns:pic="http://schemas.openxmlformats.org/drawingml/2006/picture">
            <wp:extent cx="5943600" cy="3481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sector_allo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64" w:lineRule="auto"/>
      </w:pPr>
      <w:r>
        <w:rPr>
          <w:rFonts w:ascii="Calibri" w:hAnsi="Calibri"/>
          <w:b w:val="0"/>
          <w:i w:val="0"/>
          <w:color w:val="0B2545"/>
          <w:sz w:val="20"/>
        </w:rPr>
        <w:t>The model estimates 77.7% price upside over about 5 years (roughly 12.2% a year in the model). This is an estimate, not a promise.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250"/>
        <w:gridCol w:w="2300"/>
        <w:gridCol w:w="251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Company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Allocation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 rating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Portfolio decision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News Corp (Class B) (NWS)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9.4%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85/100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Accenture (ACN)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7.2%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82/100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Atlassian (TEAM)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5.4%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82/100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Bristol Myers Squibb (BMY)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9.1%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82/100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Fox Corporation (Class A) (FOXA)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6.8%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82/100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APA Corporation (APA)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6.6%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Centene Corporation (CNC)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6.5%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Adobe Inc. (ADBE)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80/100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TKO Group Holdings (TKO)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6.8%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79/100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Cigna (CI)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7.9%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79/100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Airbnb (ABNB)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6.1%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74/100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Trade Desk (The) (TTD)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4.9%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73/100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Booking Holdings (BKNG)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5.2%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71/100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AT&amp;T (T)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5.5%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71/100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Expedia Group (EXPE)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4.9%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69/100</w:t>
            </w:r>
          </w:p>
        </w:tc>
        <w:tc>
          <w:tcPr>
            <w:tcW w:type="dxa" w:w="25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SELECTED</w:t>
            </w:r>
          </w:p>
        </w:tc>
      </w:tr>
    </w:tbl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Research sources and decision controls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Company filings are the main source of financial facts. Other sources add useful checks, but they do not overrule the audit process.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SEC filings: the main source for reported revenue, cash flow, debt, shares and other company financial facts.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Yahoo Finance/yfinance: current and historic market prices used for market context, volatility and technical analysis.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Financial Modeling Prep: a separate check on reported statements, analyst estimates, rating snapshots and analyst price-target consensus.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Massive: historic market data and company news, used to strengthen price context and identify relevant events.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FRED: official US macroeconomic series such as interest rates, inflation and growth, used to assess the macro and discount-rate backdrop.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Alpha Vantage: an additional independent income-statement source used as a cross-check when available.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Data quality: the system shows missing or conflicting data instead of making up values. News is filtered so irrelevant headlines do not influence a company decision.</w:t>
      </w:r>
    </w:p>
    <w:p>
      <w:pPr>
        <w:spacing w:before="240" w:after="120" w:line="264" w:lineRule="auto"/>
      </w:pPr>
      <w:r>
        <w:rPr>
          <w:rFonts w:ascii="Calibri" w:hAnsi="Calibri"/>
          <w:b/>
          <w:i w:val="0"/>
          <w:color w:val="2E74B5"/>
          <w:sz w:val="26"/>
        </w:rPr>
        <w:t>Portfolio safeguard policy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prototype stays fully invested, but it does not treat every researched company as suitable. A failed audit, a broken thesis, weak valuation quality, duplicate exposure, too much sector concentration or a failed risk check can block or reduce a holding.</w:t>
      </w:r>
    </w:p>
    <w:p>
      <w:pPr>
        <w:spacing w:before="80" w:after="160" w:line="264" w:lineRule="auto"/>
      </w:pPr>
      <w:r>
        <w:rPr>
          <w:rFonts w:ascii="Calibri" w:hAnsi="Calibri"/>
          <w:b/>
          <w:i w:val="0"/>
          <w:color w:val="1F5F4A"/>
          <w:sz w:val="21"/>
        </w:rPr>
        <w:t>The decision rating combines the investment case, evidence quality, estimated return, valuation reliability, risk, thesis, technical context and the breadth of sources. It uses the full 0-100 scale and keeps the differences between companies. A small uncertainty deduction means it never gives a false 100/100 certainty score. It is not a prediction that a share price will rise.</w:t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S&amp;P 500 comparison and current portfolio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S&amp;P 500 is the benchmark. Once the system has 30 days of saved checks, the website will compare the portfolio's past-month return with the S&amp;P 500 over the same period. Until then, it says there is not enough data.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The performance chart will use real dated checks, not estimated past results. The latest check records 4 allocation changes for review, but the system has not changed the portfolio itself. A change is triggered by refreshed research evidence, not by an automatic 12% or 20% price rule.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What else needs actioning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Run scheduled full research refreshes for current holdings so the monitoring view uses up-to-date fundamentals, valuation, technical analysis, catalysts, sentiment, thesis challenge and audit results.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Add a proper catalyst probability model for events such as approvals, trials, contracts, product launches, acquisitions and regulatory decisions, using source-backed probabilities rather than headline sentiment alone.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Improve technical analysis with stronger trend, momentum, volume, support/resistance and relative-strength measures, all compared against the wider market and sector.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Expand fundamental analysis across several reporting periods: revenue growth, margins, free cash flow, debt, returns on capital, share dilution and guidance changes.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Build sector and industry comparison models so each company is judged against direct competitors, not only against its own history.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Add earnings-call, management-guidance and filing-change extraction, with clear links to the evidence that changed a view.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Make macro analysis more specific: interest-rate, inflation, growth, credit and sector sensitivity should affect valuation assumptions and position sizes where relevant.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Add portfolio-level correlation, factor and liquidity analysis so diversification is based on economic exposure, not only company names and sectors.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Replace generic exit rules with a research-led exit framework: thesis break, valuation change, evidence failure, catalyst completion, deteriorating fundamentals or deteriorating technical context.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Keep a complete decision log: what was known at the time, why a holding was chosen, what changed later and whether the decision was right.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Build point-in-time historical datasets and backtests, including realistic transaction costs, turnover, delisted companies and out-of-sample testing.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Build a longer paper record and compare it with the S&amp;P 500 over 1, 3, 6 and 12 months before claiming an edge.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Use paper outcomes to calibrate the scoring model. The learning bot should improve weights only from recorded evidence and later results, never hindsight.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Add operational controls: source-health checks, stale-data warnings, error monitoring, reproducible research snapshots and manual approval for every portfolio change.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B2545"/>
          <w:sz w:val="22"/>
        </w:rPr>
        <w:t>Consider live trading only after strong paper results, independent review, clear risk limits, trading-cost analysis, broker controls and your explicit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b w:val="0"/>
        <w:i w:val="0"/>
        <w:color w:val="5B6573"/>
        <w:sz w:val="17"/>
      </w:rPr>
      <w:t>Research prototype | Paper monitoring only |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/>
        <w:b/>
        <w:i w:val="0"/>
        <w:color w:val="5B6573"/>
        <w:sz w:val="17"/>
      </w:rPr>
      <w:t>SAM &amp; PAT PROJECT  |  PORTFOLIO CONSTRUCTION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