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Calling Cards Strategy Paired End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Forward primer (One of the following):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OM-PB-ACG: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ACG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OM-PB-CTA: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CTA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OM-PB-GAT: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GAT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OM-PB-TGC: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TGC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OM-PB-TAG: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TAG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OM-PB-ATC: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ATC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OM-PB-CGT: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CGT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OM-PB-GCA: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AATGATACGGCGACCACCGAGATCT</w:t>
      </w:r>
      <w:r w:rsidDel="00000000" w:rsidR="00000000" w:rsidRPr="00000000">
        <w:rPr>
          <w:color w:val="8064a2"/>
          <w:sz w:val="20"/>
          <w:szCs w:val="20"/>
          <w:rtl w:val="0"/>
        </w:rPr>
        <w:t xml:space="preserve">ACACTCTTTCCCTACACGACGCTCTTCCGATCT</w:t>
      </w:r>
      <w:r w:rsidDel="00000000" w:rsidR="00000000" w:rsidRPr="00000000">
        <w:rPr>
          <w:color w:val="f79646"/>
          <w:sz w:val="20"/>
          <w:szCs w:val="20"/>
          <w:rtl w:val="0"/>
        </w:rPr>
        <w:t xml:space="preserve">GCA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TTTACGCAGACTATCTTTCTAG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Reverse Primer: OM8951: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CAAGCAGAAGACGGCATACGAGAT</w:t>
      </w:r>
      <w:r w:rsidDel="00000000" w:rsidR="00000000" w:rsidRPr="00000000">
        <w:rPr>
          <w:color w:val="00b050"/>
          <w:sz w:val="20"/>
          <w:szCs w:val="20"/>
          <w:rtl w:val="0"/>
        </w:rPr>
        <w:t xml:space="preserve">CTTGTTATAGATAGCTTATCGCGATC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096482" cy="325383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6118" l="10019" r="22517" t="15075"/>
                    <a:stretch>
                      <a:fillRect/>
                    </a:stretch>
                  </pic:blipFill>
                  <pic:spPr>
                    <a:xfrm>
                      <a:off x="0" y="0"/>
                      <a:ext cx="5096482" cy="325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Read1: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PCR Barcode(3bp) + LTR seq(TTTACGCAGACTATCTTTCTAGGG) + TTAA + GenomicDNA or (TCTAGCTGCATCAGGATCATATCGT)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PCR Barcode (5bp) + LTR(32bp: GCGTCAATTTTACGCAGACTATCTTTCTAGGG) + TTAA + GenomeDNA or (TCTAGCTGCATCAGGATCATATCGT)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R2: cutter + genome_seq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Iread: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