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Layer10 Take-Home Project</w:t>
      </w:r>
    </w:p>
    <w:p>
      <w:pPr>
        <w:spacing w:before="0" w:after="200"/>
        <w:jc w:val="center"/>
      </w:pPr>
      <w:r>
        <w:rPr>
          <w:rFonts w:ascii="Arial" w:cs="Arial" w:eastAsia="Arial" w:hAnsi="Arial"/>
          <w:color w:val="444444"/>
          <w:sz w:val="28"/>
          <w:szCs w:val="28"/>
        </w:rPr>
        <w:t xml:space="preserve">Grounded Long-Term Memory via Structured Extraction,</w:t>
      </w:r>
    </w:p>
    <w:p>
      <w:pPr>
        <w:spacing w:before="0" w:after="600"/>
        <w:jc w:val="center"/>
      </w:pPr>
      <w:r>
        <w:rPr>
          <w:rFonts w:ascii="Arial" w:cs="Arial" w:eastAsia="Arial" w:hAnsi="Arial"/>
          <w:color w:val="444444"/>
          <w:sz w:val="28"/>
          <w:szCs w:val="28"/>
        </w:rPr>
        <w:t xml:space="preserve">Deduplication, and a Context Graph</w:t>
      </w:r>
    </w:p>
    <w:p>
      <w:pPr>
        <w:spacing w:before="0" w:after="200"/>
        <w:jc w:val="center"/>
      </w:pPr>
      <w:r>
        <w:rPr>
          <w:rFonts w:ascii="Arial" w:cs="Arial" w:eastAsia="Arial" w:hAnsi="Arial"/>
          <w:color w:val="888888"/>
          <w:sz w:val="24"/>
          <w:szCs w:val="24"/>
        </w:rPr>
        <w:t xml:space="preserve">2026</w:t>
      </w:r>
    </w:p>
    <w:p>
      <w:pPr>
        <w:pBdr>
          <w:bottom w:val="single" w:color="CCCCCC" w:sz="4" w:space="1"/>
        </w:pBdr>
        <w:spacing w:before="200" w:after="200"/>
      </w:pPr>
    </w:p>
    <w:p>
      <w:pPr>
        <w:pStyle w:val="Heading1"/>
        <w:spacing w:before="320" w:after="160"/>
      </w:pPr>
      <w:r>
        <w:rPr>
          <w:rFonts w:ascii="Arial" w:cs="Arial" w:eastAsia="Arial" w:hAnsi="Arial"/>
          <w:b/>
          <w:bCs/>
          <w:sz w:val="32"/>
          <w:szCs w:val="32"/>
        </w:rPr>
        <w:t xml:space="preserve">1. Corpus: CPython GitHub Issues</w:t>
      </w:r>
    </w:p>
    <w:p>
      <w:pPr>
        <w:spacing w:before="60" w:after="100"/>
      </w:pPr>
      <w:r>
        <w:rPr>
          <w:rFonts w:ascii="Arial" w:cs="Arial" w:eastAsia="Arial" w:hAnsi="Arial"/>
          <w:sz w:val="22"/>
          <w:szCs w:val="22"/>
        </w:rPr>
        <w:t xml:space="preserve">The corpus used is the public issue tracker of the CPython repository (python/cpython) on GitHub. The dataset was fetched directly via the GitHub REST API (issues endpoint, state=all, sorted by created descending), collecting 1,000 issues plus all associated comments. Pull requests are excluded at fetch time by filtering items that contain a pull_request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Corpus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python/cpython GitHub Issues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https://api.github.com/repos/python/cpython/issues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Volume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issues + all comments (per-issue, paginated)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(open + closed)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(raw_artifacts.db) + JSONL (raw_issues.jsonl)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Fetch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Recorded per run in fetch_log table (UTC ISO-8601)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Reproducibility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Re-run fetch cell with a GitHub PAT; rate-limit handled automatically</w:t>
            </w:r>
          </w:p>
        </w:tc>
      </w:tr>
    </w:tbl>
    <w:p>
      <w:pPr>
        <w:spacing w:before="60" w:after="10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The corpus is well-suited to the task because CPython issues contain rich structured metadata (labels, assignees, state) and substantial unstructured discussion — exactly the mixed-modality environment Layer10 targets in real workplaces.</w:t>
      </w:r>
    </w:p>
    <w:p>
      <w:pPr>
        <w:pStyle w:val="Heading1"/>
        <w:spacing w:before="320" w:after="160"/>
      </w:pPr>
      <w:r>
        <w:rPr>
          <w:rFonts w:ascii="Arial" w:cs="Arial" w:eastAsia="Arial" w:hAnsi="Arial"/>
          <w:b/>
          <w:bCs/>
          <w:sz w:val="32"/>
          <w:szCs w:val="32"/>
        </w:rPr>
        <w:t xml:space="preserve">2. Schema and Ontology</w:t>
      </w:r>
    </w:p>
    <w:p>
      <w:pPr>
        <w:pStyle w:val="Heading2"/>
        <w:spacing w:before="240" w:after="120"/>
      </w:pPr>
      <w:r>
        <w:rPr>
          <w:rFonts w:ascii="Arial" w:cs="Arial" w:eastAsia="Arial" w:hAnsi="Arial"/>
          <w:b/>
          <w:bCs/>
          <w:sz w:val="26"/>
          <w:szCs w:val="26"/>
        </w:rPr>
        <w:t xml:space="preserve">2.1 Artifact Store</w:t>
      </w:r>
    </w:p>
    <w:p>
      <w:pPr>
        <w:spacing w:before="60" w:after="100"/>
      </w:pPr>
      <w:r>
        <w:rPr>
          <w:rFonts w:ascii="Arial" w:cs="Arial" w:eastAsia="Arial" w:hAnsi="Arial"/>
          <w:sz w:val="22"/>
          <w:szCs w:val="22"/>
        </w:rPr>
        <w:t xml:space="preserve">All raw artifacts are stored in a single artifacts table in SQLite with the following key fields:</w:t>
      </w:r>
    </w:p>
    <w:p>
      <w:pPr>
        <w:pStyle w:val="ListParagraph"/>
        <w:numPr>
          <w:ilvl w:val="0"/>
          <w:numId w:val="2"/>
        </w:numPr>
        <w:spacing w:before="40" w:after="40"/>
      </w:pPr>
      <w:r>
        <w:rPr>
          <w:rFonts w:ascii="Arial" w:cs="Arial" w:eastAsia="Arial" w:hAnsi="Arial"/>
          <w:b w:val="false"/>
          <w:bCs w:val="false"/>
          <w:sz w:val="22"/>
          <w:szCs w:val="22"/>
        </w:rPr>
        <w:t xml:space="preserve">artifact_id — SHA-256 of (source_id + body), making ingestion idempotent</w:t>
      </w:r>
    </w:p>
    <w:p>
      <w:pPr>
        <w:pStyle w:val="ListParagraph"/>
        <w:numPr>
          <w:ilvl w:val="0"/>
          <w:numId w:val="2"/>
        </w:numPr>
        <w:spacing w:before="40" w:after="40"/>
      </w:pPr>
      <w:r>
        <w:rPr>
          <w:rFonts w:ascii="Arial" w:cs="Arial" w:eastAsia="Arial" w:hAnsi="Arial"/>
          <w:b w:val="false"/>
          <w:bCs w:val="false"/>
          <w:sz w:val="22"/>
          <w:szCs w:val="22"/>
        </w:rPr>
        <w:t xml:space="preserve">source_id — human-readable pointer: issue#12345 or issue#12345/comment#67890</w:t>
      </w:r>
    </w:p>
    <w:p>
      <w:pPr>
        <w:pStyle w:val="ListParagraph"/>
        <w:numPr>
          <w:ilvl w:val="0"/>
          <w:numId w:val="2"/>
        </w:numPr>
        <w:spacing w:before="40" w:after="40"/>
      </w:pPr>
      <w:r>
        <w:rPr>
          <w:rFonts w:ascii="Arial" w:cs="Arial" w:eastAsia="Arial" w:hAnsi="Arial"/>
          <w:b w:val="false"/>
          <w:bCs w:val="false"/>
          <w:sz w:val="22"/>
          <w:szCs w:val="22"/>
        </w:rPr>
        <w:t xml:space="preserve">artifact_type — issue | comment</w:t>
      </w:r>
    </w:p>
    <w:p>
      <w:pPr>
        <w:pStyle w:val="ListParagraph"/>
        <w:numPr>
          <w:ilvl w:val="0"/>
          <w:numId w:val="2"/>
        </w:numPr>
        <w:spacing w:before="40" w:after="40"/>
      </w:pPr>
      <w:r>
        <w:rPr>
          <w:rFonts w:ascii="Arial" w:cs="Arial" w:eastAsia="Arial" w:hAnsi="Arial"/>
          <w:b w:val="false"/>
          <w:bCs w:val="false"/>
          <w:sz w:val="22"/>
          <w:szCs w:val="22"/>
        </w:rPr>
        <w:t xml:space="preserve">state, labels, assignees — normalised JSON arrays for structured fields</w:t>
      </w:r>
    </w:p>
    <w:p>
      <w:pPr>
        <w:pStyle w:val="ListParagraph"/>
        <w:numPr>
          <w:ilvl w:val="0"/>
          <w:numId w:val="2"/>
        </w:numPr>
        <w:spacing w:before="40" w:after="40"/>
      </w:pPr>
      <w:r>
        <w:rPr>
          <w:rFonts w:ascii="Arial" w:cs="Arial" w:eastAsia="Arial" w:hAnsi="Arial"/>
          <w:b w:val="false"/>
          <w:bCs w:val="false"/>
          <w:sz w:val="22"/>
          <w:szCs w:val="22"/>
        </w:rPr>
        <w:t xml:space="preserve">fetch_date — when this snapshot was captured</w:t>
      </w:r>
    </w:p>
    <w:p>
      <w:pPr>
        <w:pStyle w:val="ListParagraph"/>
        <w:numPr>
          <w:ilvl w:val="0"/>
          <w:numId w:val="2"/>
        </w:numPr>
        <w:spacing w:before="40" w:after="40"/>
      </w:pPr>
      <w:r>
        <w:rPr>
          <w:rFonts w:ascii="Arial" w:cs="Arial" w:eastAsia="Arial" w:hAnsi="Arial"/>
          <w:b w:val="false"/>
          <w:bCs w:val="false"/>
          <w:sz w:val="22"/>
          <w:szCs w:val="22"/>
        </w:rPr>
        <w:t xml:space="preserve">is_duplicate — flag set by near-duplicate detector</w:t>
      </w:r>
    </w:p>
    <w:p>
      <w:pPr>
        <w:spacing w:before="60" w:after="10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A fetch_log table records each ingestion run with counts of issues, comments, and duplicates found, enabling reproducibility audits.</w:t>
      </w:r>
    </w:p>
    <w:p>
      <w:pPr>
        <w:pStyle w:val="Heading2"/>
        <w:spacing w:before="240" w:after="120"/>
      </w:pPr>
      <w:r>
        <w:rPr>
          <w:rFonts w:ascii="Arial" w:cs="Arial" w:eastAsia="Arial" w:hAnsi="Arial"/>
          <w:b/>
          <w:bCs/>
          <w:sz w:val="26"/>
          <w:szCs w:val="26"/>
        </w:rPr>
        <w:t xml:space="preserve">2.2 Extraction Ontology</w:t>
      </w:r>
    </w:p>
    <w:p>
      <w:pPr>
        <w:spacing w:before="60" w:after="100"/>
      </w:pPr>
      <w:r>
        <w:rPr>
          <w:rFonts w:ascii="Arial" w:cs="Arial" w:eastAsia="Arial" w:hAnsi="Arial"/>
          <w:sz w:val="22"/>
          <w:szCs w:val="22"/>
        </w:rPr>
        <w:t xml:space="preserve">Four entity types and six predicate types were defined to cover the primary relationships expressed in CPython issue discussions: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login of author, assignee, or commenter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CPython issue identified by its issue# identifier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subsystem (e.g. asyncio, sqlite3, functools)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resolution, design choice, or policy made in discussion</w:t>
            </w:r>
          </w:p>
        </w:tc>
      </w:tr>
    </w:tbl>
    <w:p>
      <w:pPr>
        <w:spacing w:before="6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Predicate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assigned_to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issue is assigned to a Person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status_changed_to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state changed to a literal (open/closed/wontfix)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blocks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Issue blocks another Issue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decided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Person or component made a named Decision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owns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Person or team owns a Component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caused_by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Issue is caused by a Component or another Issue</w:t>
            </w:r>
          </w:p>
        </w:tc>
      </w:tr>
    </w:tbl>
    <w:p>
      <w:pPr>
        <w:spacing w:before="60" w:after="10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The schema is intentionally minimal and extensible: adding a new predicate requires only updating the allowed set in the Pydantic validator and backfilling via the versioned extraction pipeline.</w:t>
      </w:r>
    </w:p>
    <w:p>
      <w:pPr>
        <w:pStyle w:val="Heading1"/>
        <w:spacing w:before="320" w:after="160"/>
      </w:pPr>
      <w:r>
        <w:rPr>
          <w:rFonts w:ascii="Arial" w:cs="Arial" w:eastAsia="Arial" w:hAnsi="Arial"/>
          <w:b/>
          <w:bCs/>
          <w:sz w:val="32"/>
          <w:szCs w:val="32"/>
        </w:rPr>
        <w:t xml:space="preserve">3. Structured Extraction</w:t>
      </w:r>
    </w:p>
    <w:p>
      <w:pPr>
        <w:pStyle w:val="Heading2"/>
        <w:spacing w:before="240" w:after="120"/>
      </w:pPr>
      <w:r>
        <w:rPr>
          <w:rFonts w:ascii="Arial" w:cs="Arial" w:eastAsia="Arial" w:hAnsi="Arial"/>
          <w:b/>
          <w:bCs/>
          <w:sz w:val="26"/>
          <w:szCs w:val="26"/>
        </w:rPr>
        <w:t xml:space="preserve">3.1 Model and Tooling</w:t>
      </w:r>
    </w:p>
    <w:p>
      <w:pPr>
        <w:spacing w:before="60" w:after="100"/>
      </w:pPr>
      <w:r>
        <w:rPr>
          <w:rFonts w:ascii="Arial" w:cs="Arial" w:eastAsia="Arial" w:hAnsi="Arial"/>
          <w:sz w:val="22"/>
          <w:szCs w:val="22"/>
        </w:rPr>
        <w:t xml:space="preserve">Extraction is performed using the Groq-hosted llama-3.1-8b-instant model (free tier), called via the Groq Python SDK. JSON mode (response_format: {type: json_object}) is enforced at the API level to eliminate markdown-fence wrapping. Pydantic v2 models (EntitySchema, ClaimSchema, EvidenceSchema, ExtractionOutput) validate every response before any database writes.</w:t>
      </w:r>
    </w:p>
    <w:p>
      <w:pPr>
        <w:pStyle w:val="Heading2"/>
        <w:spacing w:before="240" w:after="120"/>
      </w:pPr>
      <w:r>
        <w:rPr>
          <w:rFonts w:ascii="Arial" w:cs="Arial" w:eastAsia="Arial" w:hAnsi="Arial"/>
          <w:b/>
          <w:bCs/>
          <w:sz w:val="26"/>
          <w:szCs w:val="26"/>
        </w:rPr>
        <w:t xml:space="preserve">3.2 Extraction Contract</w:t>
      </w:r>
    </w:p>
    <w:p>
      <w:pPr>
        <w:spacing w:before="60" w:after="100"/>
      </w:pPr>
      <w:r>
        <w:rPr>
          <w:rFonts w:ascii="Arial" w:cs="Arial" w:eastAsia="Arial" w:hAnsi="Arial"/>
          <w:sz w:val="22"/>
          <w:szCs w:val="22"/>
        </w:rPr>
        <w:t xml:space="preserve">Each artifact is submitted as a structured prompt containing the source_id, author, timestamps, issue metadata (title, labels, assignees, state), and body text. The system prompt instructs the model to return exactly one ExtractionOutput JSON object.</w:t>
      </w:r>
    </w:p>
    <w:p>
      <w:pPr>
        <w:spacing w:before="60" w:after="100"/>
      </w:pPr>
      <w:r>
        <w:rPr>
          <w:rFonts w:ascii="Arial" w:cs="Arial" w:eastAsia="Arial" w:hAnsi="Arial"/>
          <w:sz w:val="22"/>
          <w:szCs w:val="22"/>
        </w:rPr>
        <w:t xml:space="preserve">Every extracted claim must include an EvidenceSchema with: (1) an excerpt — a verbatim snippet from the source text — and (2) optional char_offset_start / char_offset_end for precise grounding. Predicate values are validated against a closed set; invalid values raise a Pydantic ValidationError and trigger a retry.</w:t>
      </w:r>
    </w:p>
    <w:p>
      <w:pPr>
        <w:pStyle w:val="Heading2"/>
        <w:spacing w:before="240" w:after="120"/>
      </w:pPr>
      <w:r>
        <w:rPr>
          <w:rFonts w:ascii="Arial" w:cs="Arial" w:eastAsia="Arial" w:hAnsi="Arial"/>
          <w:b/>
          <w:bCs/>
          <w:sz w:val="26"/>
          <w:szCs w:val="26"/>
        </w:rPr>
        <w:t xml:space="preserve">3.3 Validation, Repair, and Retries</w:t>
      </w:r>
    </w:p>
    <w:p>
      <w:pPr>
        <w:pStyle w:val="ListParagraph"/>
        <w:numPr>
          <w:ilvl w:val="0"/>
          <w:numId w:val="2"/>
        </w:numPr>
        <w:spacing w:before="40" w:after="40"/>
      </w:pPr>
      <w:r>
        <w:rPr>
          <w:rFonts w:ascii="Arial" w:cs="Arial" w:eastAsia="Arial" w:hAnsi="Arial"/>
          <w:b w:val="false"/>
          <w:bCs w:val="false"/>
          <w:sz w:val="22"/>
          <w:szCs w:val="22"/>
        </w:rPr>
        <w:t xml:space="preserve">Failed attempts (JSON decode error, Pydantic error, API error) are retried up to MAX_RETRIES times</w:t>
      </w:r>
    </w:p>
    <w:p>
      <w:pPr>
        <w:pStyle w:val="ListParagraph"/>
        <w:numPr>
          <w:ilvl w:val="0"/>
          <w:numId w:val="2"/>
        </w:numPr>
        <w:spacing w:before="40" w:after="40"/>
      </w:pPr>
      <w:r>
        <w:rPr>
          <w:rFonts w:ascii="Arial" w:cs="Arial" w:eastAsia="Arial" w:hAnsi="Arial"/>
          <w:b w:val="false"/>
          <w:bCs w:val="false"/>
          <w:sz w:val="22"/>
          <w:szCs w:val="22"/>
        </w:rPr>
        <w:t xml:space="preserve">On retry, the previous failure message is appended to the system prompt so the model can self-correct</w:t>
      </w:r>
    </w:p>
    <w:p>
      <w:pPr>
        <w:pStyle w:val="ListParagraph"/>
        <w:numPr>
          <w:ilvl w:val="0"/>
          <w:numId w:val="2"/>
        </w:numPr>
        <w:spacing w:before="40" w:after="40"/>
      </w:pPr>
      <w:r>
        <w:rPr>
          <w:rFonts w:ascii="Arial" w:cs="Arial" w:eastAsia="Arial" w:hAnsi="Arial"/>
          <w:b w:val="false"/>
          <w:bCs w:val="false"/>
          <w:sz w:val="22"/>
          <w:szCs w:val="22"/>
        </w:rPr>
        <w:t xml:space="preserve">Artifacts that exhaust retries are logged to extraction_log with success=0 and failure_reason, ensuring no silent data loss</w:t>
      </w:r>
    </w:p>
    <w:p>
      <w:pPr>
        <w:pStyle w:val="ListParagraph"/>
        <w:numPr>
          <w:ilvl w:val="0"/>
          <w:numId w:val="2"/>
        </w:numPr>
        <w:spacing w:before="40" w:after="40"/>
      </w:pPr>
      <w:r>
        <w:rPr>
          <w:rFonts w:ascii="Arial" w:cs="Arial" w:eastAsia="Arial" w:hAnsi="Arial"/>
          <w:b w:val="false"/>
          <w:bCs w:val="false"/>
          <w:sz w:val="22"/>
          <w:szCs w:val="22"/>
        </w:rPr>
        <w:t xml:space="preserve">Extraction version string (schema_v1/prompt_v1/llama-3.1-8b-instant) is stamped on every entity, claim, and evidence row</w:t>
      </w:r>
    </w:p>
    <w:p>
      <w:pPr>
        <w:pStyle w:val="Heading2"/>
        <w:spacing w:before="240" w:after="120"/>
      </w:pPr>
      <w:r>
        <w:rPr>
          <w:rFonts w:ascii="Arial" w:cs="Arial" w:eastAsia="Arial" w:hAnsi="Arial"/>
          <w:b/>
          <w:bCs/>
          <w:sz w:val="26"/>
          <w:szCs w:val="26"/>
        </w:rPr>
        <w:t xml:space="preserve">3.4 Quality Gate</w:t>
      </w:r>
    </w:p>
    <w:p>
      <w:pPr>
        <w:spacing w:before="60" w:after="100"/>
      </w:pPr>
      <w:r>
        <w:rPr>
          <w:rFonts w:ascii="Arial" w:cs="Arial" w:eastAsia="Arial" w:hAnsi="Arial"/>
          <w:sz w:val="22"/>
          <w:szCs w:val="22"/>
        </w:rPr>
        <w:t xml:space="preserve">Claims are promoted to durable memory (promoted_to_memory=1) only when confidence &gt;= 0.7 OR cross-evidence count &gt;= 2. Claims that fail this gate are written to a pending_review table rather than discarded, enabling human review or later promotion if additional evidence arrives.</w:t>
      </w:r>
    </w:p>
    <w:p>
      <w:pPr>
        <w:pStyle w:val="Heading2"/>
        <w:spacing w:before="240" w:after="120"/>
      </w:pPr>
      <w:r>
        <w:rPr>
          <w:rFonts w:ascii="Arial" w:cs="Arial" w:eastAsia="Arial" w:hAnsi="Arial"/>
          <w:b/>
          <w:bCs/>
          <w:sz w:val="26"/>
          <w:szCs w:val="26"/>
        </w:rPr>
        <w:t xml:space="preserve">3.5 Versioning and Backfill</w:t>
      </w:r>
    </w:p>
    <w:p>
      <w:pPr>
        <w:spacing w:before="60" w:after="100"/>
      </w:pPr>
      <w:r>
        <w:rPr>
          <w:rFonts w:ascii="Arial" w:cs="Arial" w:eastAsia="Arial" w:hAnsi="Arial"/>
          <w:sz w:val="22"/>
          <w:szCs w:val="22"/>
        </w:rPr>
        <w:t xml:space="preserve">The EXTRACTION_VERSION string encodes schema + prompt + model. When the ontology changes, old artifacts can be reprocessed by querying extraction_log for the old version and re-running the pipeline. Idempotency (INSERT OR IGNORE) ensures re-runs do not produce duplicates.</w:t>
      </w:r>
    </w:p>
    <w:p>
      <w:pPr>
        <w:pStyle w:val="Heading2"/>
        <w:spacing w:before="240" w:after="120"/>
      </w:pPr>
      <w:r>
        <w:rPr>
          <w:rFonts w:ascii="Arial" w:cs="Arial" w:eastAsia="Arial" w:hAnsi="Arial"/>
          <w:b/>
          <w:bCs/>
          <w:sz w:val="26"/>
          <w:szCs w:val="26"/>
        </w:rPr>
        <w:t xml:space="preserve">3.6 Drift Monitoring</w:t>
      </w:r>
    </w:p>
    <w:p>
      <w:pPr>
        <w:spacing w:before="60" w:after="100"/>
      </w:pPr>
      <w:r>
        <w:rPr>
          <w:rFonts w:ascii="Arial" w:cs="Arial" w:eastAsia="Arial" w:hAnsi="Arial"/>
          <w:sz w:val="22"/>
          <w:szCs w:val="22"/>
        </w:rPr>
        <w:t xml:space="preserve">After each extraction batch, a predicate frequency distribution is printed and compared against a saved baseline. A shift of &gt;20% in any predicate frequency is flagged as a signal to trigger extraction review — a lightweight form of schema drift detection.</w:t>
      </w:r>
    </w:p>
    <w:p>
      <w:pPr>
        <w:pStyle w:val="Heading1"/>
        <w:spacing w:before="320" w:after="160"/>
      </w:pPr>
      <w:r>
        <w:rPr>
          <w:rFonts w:ascii="Arial" w:cs="Arial" w:eastAsia="Arial" w:hAnsi="Arial"/>
          <w:b/>
          <w:bCs/>
          <w:sz w:val="32"/>
          <w:szCs w:val="32"/>
        </w:rPr>
        <w:t xml:space="preserve">4. Deduplication and Canonicalization</w:t>
      </w:r>
    </w:p>
    <w:p>
      <w:pPr>
        <w:pStyle w:val="Heading2"/>
        <w:spacing w:before="240" w:after="120"/>
      </w:pPr>
      <w:r>
        <w:rPr>
          <w:rFonts w:ascii="Arial" w:cs="Arial" w:eastAsia="Arial" w:hAnsi="Arial"/>
          <w:b/>
          <w:bCs/>
          <w:sz w:val="26"/>
          <w:szCs w:val="26"/>
        </w:rPr>
        <w:t xml:space="preserve">4.1 Artifact-Level Deduplication</w:t>
      </w:r>
    </w:p>
    <w:p>
      <w:pPr>
        <w:spacing w:before="60" w:after="100"/>
      </w:pPr>
      <w:r>
        <w:rPr>
          <w:rFonts w:ascii="Arial" w:cs="Arial" w:eastAsia="Arial" w:hAnsi="Arial"/>
          <w:sz w:val="22"/>
          <w:szCs w:val="22"/>
        </w:rPr>
        <w:t xml:space="preserve">Exact duplicates are prevented at insert time by the SHA-256 artifact_id primary key. Near-duplicates are detected using 5-character shingling with Jaccard similarity; any two issues exceeding a 0.85 threshold have is_duplicate=1 set on the later one, excluding them from extraction.</w:t>
      </w:r>
    </w:p>
    <w:p>
      <w:pPr>
        <w:pStyle w:val="Heading2"/>
        <w:spacing w:before="240" w:after="120"/>
      </w:pPr>
      <w:r>
        <w:rPr>
          <w:rFonts w:ascii="Arial" w:cs="Arial" w:eastAsia="Arial" w:hAnsi="Arial"/>
          <w:b/>
          <w:bCs/>
          <w:sz w:val="26"/>
          <w:szCs w:val="26"/>
        </w:rPr>
        <w:t xml:space="preserve">4.2 Entity Canonicalization</w:t>
      </w:r>
    </w:p>
    <w:p>
      <w:pPr>
        <w:spacing w:before="60" w:after="100"/>
      </w:pPr>
      <w:r>
        <w:rPr>
          <w:rFonts w:ascii="Arial" w:cs="Arial" w:eastAsia="Arial" w:hAnsi="Arial"/>
          <w:sz w:val="22"/>
          <w:szCs w:val="22"/>
        </w:rPr>
        <w:t xml:space="preserve">After extraction, all entities are compared pairwise within the same entity_type using three rules, applied in priority order:</w:t>
      </w:r>
    </w:p>
    <w:p>
      <w:pPr>
        <w:pStyle w:val="ListParagraph"/>
        <w:numPr>
          <w:ilvl w:val="0"/>
          <w:numId w:val="2"/>
        </w:numPr>
        <w:spacing w:before="40" w:after="40"/>
      </w:pPr>
      <w:r>
        <w:rPr>
          <w:rFonts w:ascii="Arial" w:cs="Arial" w:eastAsia="Arial" w:hAnsi="Arial"/>
          <w:b w:val="false"/>
          <w:bCs w:val="false"/>
          <w:sz w:val="22"/>
          <w:szCs w:val="22"/>
        </w:rPr>
        <w:t xml:space="preserve">Exact canonical name match (case-insensitive) — merged unconditionally</w:t>
      </w:r>
    </w:p>
    <w:p>
      <w:pPr>
        <w:pStyle w:val="ListParagraph"/>
        <w:numPr>
          <w:ilvl w:val="0"/>
          <w:numId w:val="2"/>
        </w:numPr>
        <w:spacing w:before="40" w:after="40"/>
      </w:pPr>
      <w:r>
        <w:rPr>
          <w:rFonts w:ascii="Arial" w:cs="Arial" w:eastAsia="Arial" w:hAnsi="Arial"/>
          <w:b w:val="false"/>
          <w:bCs w:val="false"/>
          <w:sz w:val="22"/>
          <w:szCs w:val="22"/>
        </w:rPr>
        <w:t xml:space="preserve">Alias overlap — if any alias of entity A equals any alias of entity B, merge</w:t>
      </w:r>
    </w:p>
    <w:p>
      <w:pPr>
        <w:pStyle w:val="ListParagraph"/>
        <w:numPr>
          <w:ilvl w:val="0"/>
          <w:numId w:val="2"/>
        </w:numPr>
        <w:spacing w:before="40" w:after="40"/>
      </w:pPr>
      <w:r>
        <w:rPr>
          <w:rFonts w:ascii="Arial" w:cs="Arial" w:eastAsia="Arial" w:hAnsi="Arial"/>
          <w:b w:val="false"/>
          <w:bCs w:val="false"/>
          <w:sz w:val="22"/>
          <w:szCs w:val="22"/>
        </w:rPr>
        <w:t xml:space="preserve">Fuzzy name match (Person type only) — RapidFuzz token_sort_ratio &gt;= 88 triggers a merge</w:t>
      </w:r>
    </w:p>
    <w:p>
      <w:pPr>
        <w:spacing w:before="60" w:after="10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When a merge is applied, entity B's canonical name and aliases are added to entity A's alias list, all claims previously pointing to B's entity_id are re-pointed to A's entity_id, and the merge is logged in merge_log with both names, the reason, and a timestamp.</w:t>
      </w:r>
    </w:p>
    <w:p>
      <w:pPr>
        <w:pStyle w:val="Heading2"/>
        <w:spacing w:before="240" w:after="120"/>
      </w:pPr>
      <w:r>
        <w:rPr>
          <w:rFonts w:ascii="Arial" w:cs="Arial" w:eastAsia="Arial" w:hAnsi="Arial"/>
          <w:b/>
          <w:bCs/>
          <w:sz w:val="26"/>
          <w:szCs w:val="26"/>
        </w:rPr>
        <w:t xml:space="preserve">4.3 Claim Deduplication</w:t>
      </w:r>
    </w:p>
    <w:p>
      <w:pPr>
        <w:spacing w:before="60" w:after="100"/>
      </w:pPr>
      <w:r>
        <w:rPr>
          <w:rFonts w:ascii="Arial" w:cs="Arial" w:eastAsia="Arial" w:hAnsi="Arial"/>
          <w:sz w:val="22"/>
          <w:szCs w:val="22"/>
        </w:rPr>
        <w:t xml:space="preserve">Claims are fingerprinted as SHA-256(subject_entity_id + predicate + object_key). When multiple claims share a fingerprint, all evidence rows are re-pointed to the highest-confidence canonical claim, duplicates are deleted, and every merge is recorded in claim_merge_log. The canonical claim's cross_evidence_count is updated accordingly, which can trigger promotion to memory.</w:t>
      </w:r>
    </w:p>
    <w:p>
      <w:pPr>
        <w:pStyle w:val="Heading2"/>
        <w:spacing w:before="240" w:after="120"/>
      </w:pPr>
      <w:r>
        <w:rPr>
          <w:rFonts w:ascii="Arial" w:cs="Arial" w:eastAsia="Arial" w:hAnsi="Arial"/>
          <w:b/>
          <w:bCs/>
          <w:sz w:val="26"/>
          <w:szCs w:val="26"/>
        </w:rPr>
        <w:t xml:space="preserve">4.4 Conflict and Revision Handling</w:t>
      </w:r>
    </w:p>
    <w:p>
      <w:pPr>
        <w:spacing w:before="60" w:after="100"/>
      </w:pPr>
      <w:r>
        <w:rPr>
          <w:rFonts w:ascii="Arial" w:cs="Arial" w:eastAsia="Arial" w:hAnsi="Arial"/>
          <w:sz w:val="22"/>
          <w:szCs w:val="22"/>
        </w:rPr>
        <w:t xml:space="preserve">For mutable predicates (assigned_to, status_changed_to, owns), when a subject entity holds multiple non-superseded claims for the same predicate, they are sorted chronologically. All but the most recent are marked superseded=1 and given a valid_until timestamp equal to the next claim's valid_from. Each supersession is recorded in conflict_log with old_object, new_object, and detected_at.</w:t>
      </w:r>
    </w:p>
    <w:p>
      <w:pPr>
        <w:spacing w:before="60" w:after="100"/>
      </w:pPr>
      <w:r>
        <w:rPr>
          <w:rFonts w:ascii="Arial" w:cs="Arial" w:eastAsia="Arial" w:hAnsi="Arial"/>
          <w:sz w:val="22"/>
          <w:szCs w:val="22"/>
        </w:rPr>
        <w:t xml:space="preserve">This models the real-world lifecycle of issues: an assignee changes, a status flips from open to closed to re-opened. Both current and historical states are queryable.</w:t>
      </w:r>
    </w:p>
    <w:p>
      <w:pPr>
        <w:pStyle w:val="Heading2"/>
        <w:spacing w:before="240" w:after="120"/>
      </w:pPr>
      <w:r>
        <w:rPr>
          <w:rFonts w:ascii="Arial" w:cs="Arial" w:eastAsia="Arial" w:hAnsi="Arial"/>
          <w:b/>
          <w:bCs/>
          <w:sz w:val="26"/>
          <w:szCs w:val="26"/>
        </w:rPr>
        <w:t xml:space="preserve">4.5 Reversibility</w:t>
      </w:r>
    </w:p>
    <w:p>
      <w:pPr>
        <w:spacing w:before="60" w:after="100"/>
      </w:pPr>
      <w:r>
        <w:rPr>
          <w:rFonts w:ascii="Arial" w:cs="Arial" w:eastAsia="Arial" w:hAnsi="Arial"/>
          <w:sz w:val="22"/>
          <w:szCs w:val="22"/>
        </w:rPr>
        <w:t xml:space="preserve">Every entity merge is logged in merge_log with a stable merge_id. The revert_entity_merge(cur, merge_id) function re-creates entity B in the entities table, removes B's name from A's alias list, and marks the merge as reverted=1. Claim evidence re-pointing for claim deduplication is similarly auditable via claim_merge_log.</w:t>
      </w:r>
    </w:p>
    <w:p>
      <w:pPr>
        <w:pStyle w:val="Heading1"/>
        <w:spacing w:before="320" w:after="160"/>
      </w:pPr>
      <w:r>
        <w:rPr>
          <w:rFonts w:ascii="Arial" w:cs="Arial" w:eastAsia="Arial" w:hAnsi="Arial"/>
          <w:b/>
          <w:bCs/>
          <w:sz w:val="32"/>
          <w:szCs w:val="32"/>
        </w:rPr>
        <w:t xml:space="preserve">5. Memory Graph Design</w:t>
      </w:r>
    </w:p>
    <w:p>
      <w:pPr>
        <w:pStyle w:val="Heading2"/>
        <w:spacing w:before="240" w:after="120"/>
      </w:pPr>
      <w:r>
        <w:rPr>
          <w:rFonts w:ascii="Arial" w:cs="Arial" w:eastAsia="Arial" w:hAnsi="Arial"/>
          <w:b/>
          <w:bCs/>
          <w:sz w:val="26"/>
          <w:szCs w:val="26"/>
        </w:rPr>
        <w:t xml:space="preserve">5.1 Structure</w:t>
      </w:r>
    </w:p>
    <w:p>
      <w:pPr>
        <w:spacing w:before="60" w:after="100"/>
      </w:pPr>
      <w:r>
        <w:rPr>
          <w:rFonts w:ascii="Arial" w:cs="Arial" w:eastAsia="Arial" w:hAnsi="Arial"/>
          <w:sz w:val="22"/>
          <w:szCs w:val="22"/>
        </w:rPr>
        <w:t xml:space="preserve">The memory graph is a directed graph built with NetworkX and serialized to memory_graph.json. It contains two node types and two edge types:</w:t>
      </w:r>
    </w:p>
    <w:p>
      <w:pPr>
        <w:pStyle w:val="ListParagraph"/>
        <w:numPr>
          <w:ilvl w:val="0"/>
          <w:numId w:val="2"/>
        </w:numPr>
        <w:spacing w:before="40" w:after="40"/>
      </w:pPr>
      <w:r>
        <w:rPr>
          <w:rFonts w:ascii="Arial" w:cs="Arial" w:eastAsia="Arial" w:hAnsi="Arial"/>
          <w:b w:val="false"/>
          <w:bCs w:val="false"/>
          <w:sz w:val="22"/>
          <w:szCs w:val="22"/>
        </w:rPr>
        <w:t xml:space="preserve">Entity nodes — carry canonical_name, entity_type, aliases, first_seen, extraction_version</w:t>
      </w:r>
    </w:p>
    <w:p>
      <w:pPr>
        <w:pStyle w:val="ListParagraph"/>
        <w:numPr>
          <w:ilvl w:val="0"/>
          <w:numId w:val="2"/>
        </w:numPr>
        <w:spacing w:before="40" w:after="40"/>
      </w:pPr>
      <w:r>
        <w:rPr>
          <w:rFonts w:ascii="Arial" w:cs="Arial" w:eastAsia="Arial" w:hAnsi="Arial"/>
          <w:b w:val="false"/>
          <w:bCs w:val="false"/>
          <w:sz w:val="22"/>
          <w:szCs w:val="22"/>
        </w:rPr>
        <w:t xml:space="preserve">Claim nodes — carry predicate, object_label, confidence, is_current, valid_from, valid_until, superseded, promoted_to_memory, cross_evidence_count, and a full evidence list embedded in the node</w:t>
      </w:r>
    </w:p>
    <w:p>
      <w:pPr>
        <w:pStyle w:val="ListParagraph"/>
        <w:numPr>
          <w:ilvl w:val="0"/>
          <w:numId w:val="2"/>
        </w:numPr>
        <w:spacing w:before="40" w:after="40"/>
      </w:pPr>
      <w:r>
        <w:rPr>
          <w:rFonts w:ascii="Arial" w:cs="Arial" w:eastAsia="Arial" w:hAnsi="Arial"/>
          <w:b w:val="false"/>
          <w:bCs w:val="false"/>
          <w:sz w:val="22"/>
          <w:szCs w:val="22"/>
        </w:rPr>
        <w:t xml:space="preserve">subject_of edges — Entity → Claim (this entity makes this claim)</w:t>
      </w:r>
    </w:p>
    <w:p>
      <w:pPr>
        <w:pStyle w:val="ListParagraph"/>
        <w:numPr>
          <w:ilvl w:val="0"/>
          <w:numId w:val="2"/>
        </w:numPr>
        <w:spacing w:before="40" w:after="40"/>
      </w:pPr>
      <w:r>
        <w:rPr>
          <w:rFonts w:ascii="Arial" w:cs="Arial" w:eastAsia="Arial" w:hAnsi="Arial"/>
          <w:b w:val="false"/>
          <w:bCs w:val="false"/>
          <w:sz w:val="22"/>
          <w:szCs w:val="22"/>
        </w:rPr>
        <w:t xml:space="preserve">object_of edges — Claim → Entity (this claim's object is this entity)</w:t>
      </w:r>
    </w:p>
    <w:p>
      <w:pPr>
        <w:pStyle w:val="Heading2"/>
        <w:spacing w:before="240" w:after="120"/>
      </w:pPr>
      <w:r>
        <w:rPr>
          <w:rFonts w:ascii="Arial" w:cs="Arial" w:eastAsia="Arial" w:hAnsi="Arial"/>
          <w:b/>
          <w:bCs/>
          <w:sz w:val="26"/>
          <w:szCs w:val="26"/>
        </w:rPr>
        <w:t xml:space="preserve">5.2 Time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event_time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Earliest evidence timestamp — when first stated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valid_from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claim became true (artifact created_at)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valid_until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superseded; NULL means still current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is_current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Derived flag: superseded=0 AND valid_until IS NULL</w:t>
            </w:r>
          </w:p>
        </w:tc>
      </w:tr>
    </w:tbl>
    <w:p>
      <w:pPr>
        <w:spacing w:before="60" w:after="10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This bi-temporal model allows the system to answer both 'what is true now?' and 'what was true on date X?' without data loss.</w:t>
      </w:r>
    </w:p>
    <w:p>
      <w:pPr>
        <w:pStyle w:val="Heading2"/>
        <w:spacing w:before="240" w:after="120"/>
      </w:pPr>
      <w:r>
        <w:rPr>
          <w:rFonts w:ascii="Arial" w:cs="Arial" w:eastAsia="Arial" w:hAnsi="Arial"/>
          <w:b/>
          <w:bCs/>
          <w:sz w:val="26"/>
          <w:szCs w:val="26"/>
        </w:rPr>
        <w:t xml:space="preserve">5.3 Incremental Ingestion and Idempotency</w:t>
      </w:r>
    </w:p>
    <w:p>
      <w:pPr>
        <w:spacing w:before="60" w:after="100"/>
      </w:pPr>
      <w:r>
        <w:rPr>
          <w:rFonts w:ascii="Arial" w:cs="Arial" w:eastAsia="Arial" w:hAnsi="Arial"/>
          <w:sz w:val="22"/>
          <w:szCs w:val="22"/>
        </w:rPr>
        <w:t xml:space="preserve">New artifacts are ingested by querying for artifact_ids absent from extraction_log (success=1). All insert statements use INSERT OR IGNORE, making re-runs safe. The graph is rebuilt from the database on demand; no mutable in-memory state is required for incremental updates.</w:t>
      </w:r>
    </w:p>
    <w:p>
      <w:pPr>
        <w:pStyle w:val="Heading2"/>
        <w:spacing w:before="240" w:after="120"/>
      </w:pPr>
      <w:r>
        <w:rPr>
          <w:rFonts w:ascii="Arial" w:cs="Arial" w:eastAsia="Arial" w:hAnsi="Arial"/>
          <w:b/>
          <w:bCs/>
          <w:sz w:val="26"/>
          <w:szCs w:val="26"/>
        </w:rPr>
        <w:t xml:space="preserve">5.4 Permissions (Conceptual)</w:t>
      </w:r>
    </w:p>
    <w:p>
      <w:pPr>
        <w:spacing w:before="60" w:after="100"/>
      </w:pPr>
      <w:r>
        <w:rPr>
          <w:rFonts w:ascii="Arial" w:cs="Arial" w:eastAsia="Arial" w:hAnsi="Arial"/>
          <w:sz w:val="22"/>
          <w:szCs w:val="22"/>
        </w:rPr>
        <w:t xml:space="preserve">Because every evidence row stores artifact_id and source_id, access control can be enforced at retrieval time: a query first checks which artifact_ids the requesting user can read (based on their access to the underlying GitHub repo, Slack workspace, or Jira project), then filters the evidence set to only those artifacts before resolving claims. Claims whose only supporting evidence is inaccessible to the requester are excluded from the context pack.</w:t>
      </w:r>
    </w:p>
    <w:p>
      <w:pPr>
        <w:pStyle w:val="Heading2"/>
        <w:spacing w:before="240" w:after="120"/>
      </w:pPr>
      <w:r>
        <w:rPr>
          <w:rFonts w:ascii="Arial" w:cs="Arial" w:eastAsia="Arial" w:hAnsi="Arial"/>
          <w:b/>
          <w:bCs/>
          <w:sz w:val="26"/>
          <w:szCs w:val="26"/>
        </w:rPr>
        <w:t xml:space="preserve">5.5 Observability</w:t>
      </w:r>
    </w:p>
    <w:p>
      <w:pPr>
        <w:spacing w:before="60" w:after="100"/>
      </w:pPr>
      <w:r>
        <w:rPr>
          <w:rFonts w:ascii="Arial" w:cs="Arial" w:eastAsia="Arial" w:hAnsi="Arial"/>
          <w:sz w:val="22"/>
          <w:szCs w:val="22"/>
        </w:rPr>
        <w:t xml:space="preserve">The pipeline logs: extraction success/failure rates per artifact, retry counts, claim type frequency distribution (for drift detection), the count of claims in pending_review, and graph health metrics (claims with zero evidence — which should always be zero — and multi-evidence claims as a quality signal). These are printed at the end of each pipeline stage and can be scraped into any monitoring system.</w:t>
      </w:r>
    </w:p>
    <w:p>
      <w:pPr>
        <w:pStyle w:val="Heading1"/>
        <w:spacing w:before="320" w:after="160"/>
      </w:pPr>
      <w:r>
        <w:rPr>
          <w:rFonts w:ascii="Arial" w:cs="Arial" w:eastAsia="Arial" w:hAnsi="Arial"/>
          <w:b/>
          <w:bCs/>
          <w:sz w:val="32"/>
          <w:szCs w:val="32"/>
        </w:rPr>
        <w:t xml:space="preserve">6. Retrieval and Grounding</w:t>
      </w:r>
    </w:p>
    <w:p>
      <w:pPr>
        <w:pStyle w:val="Heading2"/>
        <w:spacing w:before="240" w:after="120"/>
      </w:pPr>
      <w:r>
        <w:rPr>
          <w:rFonts w:ascii="Arial" w:cs="Arial" w:eastAsia="Arial" w:hAnsi="Arial"/>
          <w:b/>
          <w:bCs/>
          <w:sz w:val="26"/>
          <w:szCs w:val="26"/>
        </w:rPr>
        <w:t xml:space="preserve">6.1 Hybrid Retrieval</w:t>
      </w:r>
    </w:p>
    <w:p>
      <w:pPr>
        <w:spacing w:before="60" w:after="100"/>
      </w:pPr>
      <w:r>
        <w:rPr>
          <w:rFonts w:ascii="Arial" w:cs="Arial" w:eastAsia="Arial" w:hAnsi="Arial"/>
          <w:sz w:val="22"/>
          <w:szCs w:val="22"/>
        </w:rPr>
        <w:t xml:space="preserve">The retrieval function (retrieve(question, top_k_semantic=10, top_k_final=5)) implements a two-stage hybrid approach:</w:t>
      </w:r>
    </w:p>
    <w:p>
      <w:pPr>
        <w:pStyle w:val="ListParagraph"/>
        <w:numPr>
          <w:ilvl w:val="0"/>
          <w:numId w:val="2"/>
        </w:numPr>
        <w:spacing w:before="40" w:after="40"/>
      </w:pPr>
      <w:r>
        <w:rPr>
          <w:rFonts w:ascii="Arial" w:cs="Arial" w:eastAsia="Arial" w:hAnsi="Arial"/>
          <w:b w:val="false"/>
          <w:bCs w:val="false"/>
          <w:sz w:val="22"/>
          <w:szCs w:val="22"/>
        </w:rPr>
        <w:t xml:space="preserve">Semantic search — claims are embedded as natural-language strings of the form "&lt;subject&gt; &lt;predicate&gt; &lt;object&gt;. &lt;evidence excerpt&gt;". Embeddings are generated with all-MiniLM-L6-v2 (SentenceTransformers, CPU-friendly) and indexed in a FAISS IndexFlatIP (cosine similarity via normalised inner product).</w:t>
      </w:r>
    </w:p>
    <w:p>
      <w:pPr>
        <w:pStyle w:val="ListParagraph"/>
        <w:numPr>
          <w:ilvl w:val="0"/>
          <w:numId w:val="2"/>
        </w:numPr>
        <w:spacing w:before="40" w:after="40"/>
      </w:pPr>
      <w:r>
        <w:rPr>
          <w:rFonts w:ascii="Arial" w:cs="Arial" w:eastAsia="Arial" w:hAnsi="Arial"/>
          <w:b w:val="false"/>
          <w:bCs w:val="false"/>
          <w:sz w:val="22"/>
          <w:szCs w:val="22"/>
        </w:rPr>
        <w:t xml:space="preserve">Keyword fallback — an inverted index maps tokens extracted from claim texts and entity names to claim IDs. This handles exact identifiers (issue numbers, GitHub logins) that semantic search may not rank highly.</w:t>
      </w:r>
    </w:p>
    <w:p>
      <w:pPr>
        <w:pStyle w:val="ListParagraph"/>
        <w:numPr>
          <w:ilvl w:val="0"/>
          <w:numId w:val="2"/>
        </w:numPr>
        <w:spacing w:before="40" w:after="40"/>
      </w:pPr>
      <w:r>
        <w:rPr>
          <w:rFonts w:ascii="Arial" w:cs="Arial" w:eastAsia="Arial" w:hAnsi="Arial"/>
          <w:b w:val="false"/>
          <w:bCs w:val="false"/>
          <w:sz w:val="22"/>
          <w:szCs w:val="22"/>
        </w:rPr>
        <w:t xml:space="preserve">Hybrid merge — final score = 0.7 × semantic + 0.3 × keyword, prioritising semantic relevance while preserving exact-match recall.</w:t>
      </w:r>
    </w:p>
    <w:p>
      <w:pPr>
        <w:pStyle w:val="Heading2"/>
        <w:spacing w:before="240" w:after="120"/>
      </w:pPr>
      <w:r>
        <w:rPr>
          <w:rFonts w:ascii="Arial" w:cs="Arial" w:eastAsia="Arial" w:hAnsi="Arial"/>
          <w:b/>
          <w:bCs/>
          <w:sz w:val="26"/>
          <w:szCs w:val="26"/>
        </w:rPr>
        <w:t xml:space="preserve">6.2 Filtering, Ranking, and Pruning</w:t>
      </w:r>
    </w:p>
    <w:p>
      <w:pPr>
        <w:spacing w:before="60" w:after="100"/>
      </w:pPr>
      <w:r>
        <w:rPr>
          <w:rFonts w:ascii="Arial" w:cs="Arial" w:eastAsia="Arial" w:hAnsi="Arial"/>
          <w:sz w:val="22"/>
          <w:szCs w:val="22"/>
        </w:rPr>
        <w:t xml:space="preserve">After merging scores, claims are filtered by minimum confidence (MIN_CONFIDENCE=0.5). The top 2 × top_k_final candidates are retained for conflict detection, then re-ranked by: (1) is_current descending, (2) confidence descending, (3) hybrid score descending. The final top_k_final results are returned.</w:t>
      </w:r>
    </w:p>
    <w:p>
      <w:pPr>
        <w:pStyle w:val="Heading2"/>
        <w:spacing w:before="240" w:after="120"/>
      </w:pPr>
      <w:r>
        <w:rPr>
          <w:rFonts w:ascii="Arial" w:cs="Arial" w:eastAsia="Arial" w:hAnsi="Arial"/>
          <w:b/>
          <w:bCs/>
          <w:sz w:val="26"/>
          <w:szCs w:val="26"/>
        </w:rPr>
        <w:t xml:space="preserve">6.3 Conflict Detection</w:t>
      </w:r>
    </w:p>
    <w:p>
      <w:pPr>
        <w:spacing w:before="60" w:after="100"/>
      </w:pPr>
      <w:r>
        <w:rPr>
          <w:rFonts w:ascii="Arial" w:cs="Arial" w:eastAsia="Arial" w:hAnsi="Arial"/>
          <w:sz w:val="22"/>
          <w:szCs w:val="22"/>
        </w:rPr>
        <w:t xml:space="preserve">Within the candidate set, claims sharing the same (subject, predicate) pair with is_current=True are flagged as conflicting. The context pack includes a conflicts list and sets ambiguous=True. Both conflicting claims are returned so the consumer can show both, choose by recency, or escalate to a human reviewer.</w:t>
      </w:r>
    </w:p>
    <w:p>
      <w:pPr>
        <w:pStyle w:val="Heading2"/>
        <w:spacing w:before="240" w:after="120"/>
      </w:pPr>
      <w:r>
        <w:rPr>
          <w:rFonts w:ascii="Arial" w:cs="Arial" w:eastAsia="Arial" w:hAnsi="Arial"/>
          <w:b/>
          <w:bCs/>
          <w:sz w:val="26"/>
          <w:szCs w:val="26"/>
        </w:rPr>
        <w:t xml:space="preserve">6.4 Context Pack Format</w:t>
      </w:r>
    </w:p>
    <w:p>
      <w:pPr>
        <w:spacing w:before="60" w:after="100"/>
      </w:pPr>
      <w:r>
        <w:rPr>
          <w:rFonts w:ascii="Arial" w:cs="Arial" w:eastAsia="Arial" w:hAnsi="Arial"/>
          <w:sz w:val="22"/>
          <w:szCs w:val="22"/>
        </w:rPr>
        <w:t xml:space="preserve">Each result in the context pack includes: claim_id, predicate, subject, object, confidence, is_current, valid_from, valid_until, hybrid score, conflict_flag, and a full evidence list. Each evidence entry carries source_id, excerpt, author, event_timestamp, and claim_extraction_version — every item is fully grounded and auditable.</w:t>
      </w:r>
    </w:p>
    <w:p>
      <w:pPr>
        <w:pStyle w:val="Heading2"/>
        <w:spacing w:before="240" w:after="120"/>
      </w:pPr>
      <w:r>
        <w:rPr>
          <w:rFonts w:ascii="Arial" w:cs="Arial" w:eastAsia="Arial" w:hAnsi="Arial"/>
          <w:b/>
          <w:bCs/>
          <w:sz w:val="26"/>
          <w:szCs w:val="26"/>
        </w:rPr>
        <w:t xml:space="preserve">6.5 Example Questions</w:t>
      </w:r>
    </w:p>
    <w:p>
      <w:pPr>
        <w:spacing w:before="60" w:after="100"/>
      </w:pPr>
      <w:r>
        <w:rPr>
          <w:rFonts w:ascii="Arial" w:cs="Arial" w:eastAsia="Arial" w:hAnsi="Arial"/>
          <w:sz w:val="22"/>
          <w:szCs w:val="22"/>
        </w:rPr>
        <w:t xml:space="preserve">The following example questions are answered by the retrieval system:</w:t>
      </w:r>
    </w:p>
    <w:p>
      <w:pPr>
        <w:pStyle w:val="ListParagraph"/>
        <w:numPr>
          <w:ilvl w:val="0"/>
          <w:numId w:val="2"/>
        </w:numPr>
        <w:spacing w:before="40" w:after="40"/>
      </w:pPr>
      <w:r>
        <w:rPr>
          <w:rFonts w:ascii="Arial" w:cs="Arial" w:eastAsia="Arial" w:hAnsi="Arial"/>
          <w:b w:val="false"/>
          <w:bCs w:val="false"/>
          <w:sz w:val="22"/>
          <w:szCs w:val="22"/>
        </w:rPr>
        <w:t xml:space="preserve">"Who is assigned to the frozendict issue?"</w:t>
      </w:r>
    </w:p>
    <w:p>
      <w:pPr>
        <w:pStyle w:val="ListParagraph"/>
        <w:numPr>
          <w:ilvl w:val="0"/>
          <w:numId w:val="2"/>
        </w:numPr>
        <w:spacing w:before="40" w:after="40"/>
      </w:pPr>
      <w:r>
        <w:rPr>
          <w:rFonts w:ascii="Arial" w:cs="Arial" w:eastAsia="Arial" w:hAnsi="Arial"/>
          <w:b w:val="false"/>
          <w:bCs w:val="false"/>
          <w:sz w:val="22"/>
          <w:szCs w:val="22"/>
        </w:rPr>
        <w:t xml:space="preserve">"What component is causing the sqlite3 bug?"</w:t>
      </w:r>
    </w:p>
    <w:p>
      <w:pPr>
        <w:pStyle w:val="ListParagraph"/>
        <w:numPr>
          <w:ilvl w:val="0"/>
          <w:numId w:val="2"/>
        </w:numPr>
        <w:spacing w:before="40" w:after="40"/>
      </w:pPr>
      <w:r>
        <w:rPr>
          <w:rFonts w:ascii="Arial" w:cs="Arial" w:eastAsia="Arial" w:hAnsi="Arial"/>
          <w:b w:val="false"/>
          <w:bCs w:val="false"/>
          <w:sz w:val="22"/>
          <w:szCs w:val="22"/>
        </w:rPr>
        <w:t xml:space="preserve">"What did bkap123 decide?"</w:t>
      </w:r>
    </w:p>
    <w:p>
      <w:pPr>
        <w:pStyle w:val="ListParagraph"/>
        <w:numPr>
          <w:ilvl w:val="0"/>
          <w:numId w:val="2"/>
        </w:numPr>
        <w:spacing w:before="40" w:after="40"/>
      </w:pPr>
      <w:r>
        <w:rPr>
          <w:rFonts w:ascii="Arial" w:cs="Arial" w:eastAsia="Arial" w:hAnsi="Arial"/>
          <w:b w:val="false"/>
          <w:bCs w:val="false"/>
          <w:sz w:val="22"/>
          <w:szCs w:val="22"/>
        </w:rPr>
        <w:t xml:space="preserve">"Which issues are blocking other issues?"</w:t>
      </w:r>
    </w:p>
    <w:p>
      <w:pPr>
        <w:pStyle w:val="ListParagraph"/>
        <w:numPr>
          <w:ilvl w:val="0"/>
          <w:numId w:val="2"/>
        </w:numPr>
        <w:spacing w:before="40" w:after="40"/>
      </w:pPr>
      <w:r>
        <w:rPr>
          <w:rFonts w:ascii="Arial" w:cs="Arial" w:eastAsia="Arial" w:hAnsi="Arial"/>
          <w:b w:val="false"/>
          <w:bCs w:val="false"/>
          <w:sz w:val="22"/>
          <w:szCs w:val="22"/>
        </w:rPr>
        <w:t xml:space="preserve">"Who owns the asyncio component?"</w:t>
      </w:r>
    </w:p>
    <w:p>
      <w:pPr>
        <w:spacing w:before="60" w:after="100"/>
      </w:pPr>
      <w:r>
        <w:rPr>
          <w:rFonts w:ascii="Arial" w:cs="Arial" w:eastAsia="Arial" w:hAnsi="Arial"/>
          <w:sz w:val="22"/>
          <w:szCs w:val="22"/>
        </w:rPr>
        <w:t xml:space="preserve">Results are saved to data/example_queries.json for submission.</w:t>
      </w:r>
    </w:p>
    <w:p>
      <w:pPr>
        <w:pStyle w:val="Heading1"/>
        <w:spacing w:before="320" w:after="160"/>
      </w:pPr>
      <w:r>
        <w:rPr>
          <w:rFonts w:ascii="Arial" w:cs="Arial" w:eastAsia="Arial" w:hAnsi="Arial"/>
          <w:b/>
          <w:bCs/>
          <w:sz w:val="32"/>
          <w:szCs w:val="32"/>
        </w:rPr>
        <w:t xml:space="preserve">7. Visualization Layer</w:t>
      </w:r>
    </w:p>
    <w:p>
      <w:pPr>
        <w:spacing w:before="60" w:after="100"/>
      </w:pPr>
      <w:r>
        <w:rPr>
          <w:rFonts w:ascii="Arial" w:cs="Arial" w:eastAsia="Arial" w:hAnsi="Arial"/>
          <w:sz w:val="22"/>
          <w:szCs w:val="22"/>
        </w:rPr>
        <w:t xml:space="preserve">The visualization is a single-file HTML application (visualize.html) built with D3.js v7. It loads memory_graph.json directly in the browser and requires no server or build step.</w:t>
      </w:r>
    </w:p>
    <w:p>
      <w:pPr>
        <w:pStyle w:val="Heading2"/>
        <w:spacing w:before="240" w:after="120"/>
      </w:pPr>
      <w:r>
        <w:rPr>
          <w:rFonts w:ascii="Arial" w:cs="Arial" w:eastAsia="Arial" w:hAnsi="Arial"/>
          <w:b/>
          <w:bCs/>
          <w:sz w:val="26"/>
          <w:szCs w:val="26"/>
        </w:rPr>
        <w:t xml:space="preserve">7.1 Graph View</w:t>
      </w:r>
    </w:p>
    <w:p>
      <w:pPr>
        <w:spacing w:before="60" w:after="100"/>
      </w:pPr>
      <w:r>
        <w:rPr>
          <w:rFonts w:ascii="Arial" w:cs="Arial" w:eastAsia="Arial" w:hAnsi="Arial"/>
          <w:sz w:val="22"/>
          <w:szCs w:val="22"/>
        </w:rPr>
        <w:t xml:space="preserve">Entities and claims are rendered as a force-directed graph. Entities appear as larger nodes coloured by type (Person, Issue, Component, Decision). Current claims and superseded (historical) claims are differentiated by colour. Filters in the left sidebar allow narrowing by entity type, claim status (current / superseded), and confidence threshold.</w:t>
      </w:r>
    </w:p>
    <w:p>
      <w:pPr>
        <w:pStyle w:val="Heading2"/>
        <w:spacing w:before="240" w:after="120"/>
      </w:pPr>
      <w:r>
        <w:rPr>
          <w:rFonts w:ascii="Arial" w:cs="Arial" w:eastAsia="Arial" w:hAnsi="Arial"/>
          <w:b/>
          <w:bCs/>
          <w:sz w:val="26"/>
          <w:szCs w:val="26"/>
        </w:rPr>
        <w:t xml:space="preserve">7.2 Evidence Panel</w:t>
      </w:r>
    </w:p>
    <w:p>
      <w:pPr>
        <w:spacing w:before="60" w:after="100"/>
      </w:pPr>
      <w:r>
        <w:rPr>
          <w:rFonts w:ascii="Arial" w:cs="Arial" w:eastAsia="Arial" w:hAnsi="Arial"/>
          <w:sz w:val="22"/>
          <w:szCs w:val="22"/>
        </w:rPr>
        <w:t xml:space="preserve">Clicking any node opens a detail panel on the right showing: canonical name and aliases (for Entity nodes), predicate, object, confidence, current/superseded status, validity window (valid_from / valid_until), and the full list of evidence items with source_id, author, event_timestamp, and the verbatim excerpt.</w:t>
      </w:r>
    </w:p>
    <w:p>
      <w:pPr>
        <w:pStyle w:val="Heading2"/>
        <w:spacing w:before="240" w:after="120"/>
      </w:pPr>
      <w:r>
        <w:rPr>
          <w:rFonts w:ascii="Arial" w:cs="Arial" w:eastAsia="Arial" w:hAnsi="Arial"/>
          <w:b/>
          <w:bCs/>
          <w:sz w:val="26"/>
          <w:szCs w:val="26"/>
        </w:rPr>
        <w:t xml:space="preserve">7.3 Merge / Alias Inspection</w:t>
      </w:r>
    </w:p>
    <w:p>
      <w:pPr>
        <w:spacing w:before="60" w:after="100"/>
      </w:pPr>
      <w:r>
        <w:rPr>
          <w:rFonts w:ascii="Arial" w:cs="Arial" w:eastAsia="Arial" w:hAnsi="Arial"/>
          <w:sz w:val="22"/>
          <w:szCs w:val="22"/>
        </w:rPr>
        <w:t xml:space="preserve">Entity nodes with non-empty alias lists display their aliases in the detail panel. This allows the reviewer to trace how entity canonicalization merged, for example, two different GitHub logins for the same person.</w:t>
      </w:r>
    </w:p>
    <w:p>
      <w:pPr>
        <w:pStyle w:val="Heading1"/>
        <w:spacing w:before="320" w:after="160"/>
      </w:pPr>
      <w:r>
        <w:rPr>
          <w:rFonts w:ascii="Arial" w:cs="Arial" w:eastAsia="Arial" w:hAnsi="Arial"/>
          <w:b/>
          <w:bCs/>
          <w:sz w:val="32"/>
          <w:szCs w:val="32"/>
        </w:rPr>
        <w:t xml:space="preserve">8. Adaptation to Layer10's Environment</w:t>
      </w:r>
    </w:p>
    <w:p>
      <w:pPr>
        <w:pStyle w:val="Heading2"/>
        <w:spacing w:before="240" w:after="120"/>
      </w:pPr>
      <w:r>
        <w:rPr>
          <w:rFonts w:ascii="Arial" w:cs="Arial" w:eastAsia="Arial" w:hAnsi="Arial"/>
          <w:b/>
          <w:bCs/>
          <w:sz w:val="26"/>
          <w:szCs w:val="26"/>
        </w:rPr>
        <w:t xml:space="preserve">8.1 Ontology Changes</w:t>
      </w:r>
    </w:p>
    <w:p>
      <w:pPr>
        <w:spacing w:before="60" w:after="100"/>
      </w:pPr>
      <w:r>
        <w:rPr>
          <w:rFonts w:ascii="Arial" w:cs="Arial" w:eastAsia="Arial" w:hAnsi="Arial"/>
          <w:sz w:val="22"/>
          <w:szCs w:val="22"/>
        </w:rPr>
        <w:t xml:space="preserve">For email, Slack, Jira/Linear the entity types would expand to: Person, Team, Project, Component, Customer, Ticket, Thread, Document, and Decision. Predicates would add: mentioned_in, replied_to, escalated_to, linked_to (for Slack thread → Jira ticket), and resolved_by. The extraction prompt would be tailored per source type — email prompts emphasise To/CC/BCC resolution and forwarding chains; Slack prompts capture thread hierarchy; Jira prompts extract transitions and field changes deterministically from structured API responses rather than from LLM inference.</w:t>
      </w:r>
    </w:p>
    <w:p>
      <w:pPr>
        <w:pStyle w:val="Heading2"/>
        <w:spacing w:before="240" w:after="120"/>
      </w:pPr>
      <w:r>
        <w:rPr>
          <w:rFonts w:ascii="Arial" w:cs="Arial" w:eastAsia="Arial" w:hAnsi="Arial"/>
          <w:b/>
          <w:bCs/>
          <w:sz w:val="26"/>
          <w:szCs w:val="26"/>
        </w:rPr>
        <w:t xml:space="preserve">8.2 Unstructured + Structured Fusion</w:t>
      </w:r>
    </w:p>
    <w:p>
      <w:pPr>
        <w:spacing w:before="60" w:after="100"/>
      </w:pPr>
      <w:r>
        <w:rPr>
          <w:rFonts w:ascii="Arial" w:cs="Arial" w:eastAsia="Arial" w:hAnsi="Arial"/>
          <w:sz w:val="22"/>
          <w:szCs w:val="22"/>
        </w:rPr>
        <w:t xml:space="preserve">Structured systems (Jira, Linear) provide ground-truth events (status transitions, assignee changes, label additions) that can be ingested without LLM extraction and used as high-confidence anchors for validating or boosting the confidence of claims extracted from unstructured text. For example, if Jira says issue #1234 was assigned to alice on 2025-01-15, any LLM-extracted claim of the same form is confirmed and its confidence set to 1.0.</w:t>
      </w:r>
    </w:p>
    <w:p>
      <w:pPr>
        <w:pStyle w:val="Heading2"/>
        <w:spacing w:before="240" w:after="120"/>
      </w:pPr>
      <w:r>
        <w:rPr>
          <w:rFonts w:ascii="Arial" w:cs="Arial" w:eastAsia="Arial" w:hAnsi="Arial"/>
          <w:b/>
          <w:bCs/>
          <w:sz w:val="26"/>
          <w:szCs w:val="26"/>
        </w:rPr>
        <w:t xml:space="preserve">8.3 Long-Term Memory vs. Ephemeral Context</w:t>
      </w:r>
    </w:p>
    <w:p>
      <w:pPr>
        <w:spacing w:before="60" w:after="100"/>
      </w:pPr>
      <w:r>
        <w:rPr>
          <w:rFonts w:ascii="Arial" w:cs="Arial" w:eastAsia="Arial" w:hAnsi="Arial"/>
          <w:sz w:val="22"/>
          <w:szCs w:val="22"/>
        </w:rPr>
        <w:t xml:space="preserve">Durable memory is defined as claims that pass the quality gate and are grounded in at least two independent sources (cross_evidence_count &gt;= 2) or confirmed by a structured source. Ephemeral context is single-evidence, low-confidence claims kept in pending_review and subject to TTL-based decay. When a source is deleted or redacted, the pipeline marks all evidence rows from that artifact as redacted, recomputes cross_evidence_count, and demotes claims that fall below the quality gate.</w:t>
      </w:r>
    </w:p>
    <w:p>
      <w:pPr>
        <w:pStyle w:val="Heading2"/>
        <w:spacing w:before="240" w:after="120"/>
      </w:pPr>
      <w:r>
        <w:rPr>
          <w:rFonts w:ascii="Arial" w:cs="Arial" w:eastAsia="Arial" w:hAnsi="Arial"/>
          <w:b/>
          <w:bCs/>
          <w:sz w:val="26"/>
          <w:szCs w:val="26"/>
        </w:rPr>
        <w:t xml:space="preserve">8.4 Grounding and Safety</w:t>
      </w:r>
    </w:p>
    <w:p>
      <w:pPr>
        <w:spacing w:before="60" w:after="100"/>
      </w:pPr>
      <w:r>
        <w:rPr>
          <w:rFonts w:ascii="Arial" w:cs="Arial" w:eastAsia="Arial" w:hAnsi="Arial"/>
          <w:sz w:val="22"/>
          <w:szCs w:val="22"/>
        </w:rPr>
        <w:t xml:space="preserve">Every memory item returned to an LLM context window includes its source_id and excerpt inline, so the LLM can produce citations. Deleted or redacted sources propagate immediately: the evidence row is soft-deleted, and the affected claim is re-evaluated. If a claim's last evidence is redacted, it transitions to superseded rather than being silently removed, preserving an audit trail.</w:t>
      </w:r>
    </w:p>
    <w:p>
      <w:pPr>
        <w:pStyle w:val="Heading2"/>
        <w:spacing w:before="240" w:after="120"/>
      </w:pPr>
      <w:r>
        <w:rPr>
          <w:rFonts w:ascii="Arial" w:cs="Arial" w:eastAsia="Arial" w:hAnsi="Arial"/>
          <w:b/>
          <w:bCs/>
          <w:sz w:val="26"/>
          <w:szCs w:val="26"/>
        </w:rPr>
        <w:t xml:space="preserve">8.5 Permissions</w:t>
      </w:r>
    </w:p>
    <w:p>
      <w:pPr>
        <w:spacing w:before="60" w:after="100"/>
      </w:pPr>
      <w:r>
        <w:rPr>
          <w:rFonts w:ascii="Arial" w:cs="Arial" w:eastAsia="Arial" w:hAnsi="Arial"/>
          <w:sz w:val="22"/>
          <w:szCs w:val="22"/>
        </w:rPr>
        <w:t xml:space="preserve">Each evidence row stores the artifact_id of its originating message. Access control is enforced at retrieval time by intersecting the requester's allowed_artifacts set (derived from their ACLs in Slack, Gmail, Jira, etc.) with the evidence list of each candidate claim. Claims with no accessible evidence are excluded. This means the graph can be shared infrastructure while memory retrieval is scoped per user.</w:t>
      </w:r>
    </w:p>
    <w:p>
      <w:pPr>
        <w:pStyle w:val="Heading2"/>
        <w:spacing w:before="240" w:after="120"/>
      </w:pPr>
      <w:r>
        <w:rPr>
          <w:rFonts w:ascii="Arial" w:cs="Arial" w:eastAsia="Arial" w:hAnsi="Arial"/>
          <w:b/>
          <w:bCs/>
          <w:sz w:val="26"/>
          <w:szCs w:val="26"/>
        </w:rPr>
        <w:t xml:space="preserve">8.6 Operational Reality</w:t>
      </w:r>
    </w:p>
    <w:p>
      <w:pPr>
        <w:spacing w:before="60" w:after="100"/>
      </w:pPr>
      <w:r>
        <w:rPr>
          <w:rFonts w:ascii="Arial" w:cs="Arial" w:eastAsia="Arial" w:hAnsi="Arial"/>
          <w:sz w:val="22"/>
          <w:szCs w:val="22"/>
        </w:rPr>
        <w:t xml:space="preserve">Incremental ingestion is already supported via the extraction_log exclusion query. At scale, the SQLite store would be replaced with Postgres (for concurrent writes and full-text search) and the FAISS index would be rebuilt incrementally or replaced with a vector database (pgvector, Pinecone). Batch extraction costs are managed by processing only new or updated artifacts. Regression testing would compare predicate frequency distributions across pipeline versions and run golden-set retrieval evaluations against a curated set of question/expected-claim pairs.</w:t>
      </w:r>
    </w:p>
    <w:p>
      <w:pPr>
        <w:pBdr>
          <w:bottom w:val="single" w:color="CCCCCC" w:sz="4" w:space="1"/>
        </w:pBdr>
        <w:spacing w:before="200" w:after="200"/>
      </w:pPr>
    </w:p>
    <w:p>
      <w:pPr>
        <w:pStyle w:val="Heading1"/>
        <w:spacing w:before="320" w:after="160"/>
      </w:pPr>
      <w:r>
        <w:rPr>
          <w:rFonts w:ascii="Arial" w:cs="Arial" w:eastAsia="Arial" w:hAnsi="Arial"/>
          <w:b/>
          <w:bCs/>
          <w:sz w:val="32"/>
          <w:szCs w:val="32"/>
        </w:rPr>
        <w:t xml:space="preserve">Summary of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Extraction + dedup + graph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layer10_assignment.py (Colab notebook)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Serialized memory graph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data/memory_graph.json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Example context packs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data/example_queries.json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visualize.html (open in browser, load memory_graph.json)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Write-up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document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Raw artifact store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data/raw_artifacts.db (SQLite)</w:t>
            </w:r>
          </w:p>
        </w:tc>
      </w:tr>
    </w:tbl>
    <w:p>
      <w:pPr>
        <w:spacing w:before="60" w:after="10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To reproduce end-to-end: set a GitHub PAT in GITHUB_TOKEN, run all cells in layer10_assignment.py in order (Colab or local Jupyter), then open visualize.html in a browser and select memory_graph.json when prompted.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2026-03-04T12:02:11.509Z</dcterms:created>
  <dcterms:modified xsi:type="dcterms:W3CDTF">2026-03-04T12:02:11.509Z</dcterms:modified>
</cp:coreProperties>
</file>

<file path=docProps/custom.xml><?xml version="1.0" encoding="utf-8"?>
<Properties xmlns="http://schemas.openxmlformats.org/officeDocument/2006/custom-properties" xmlns:vt="http://schemas.openxmlformats.org/officeDocument/2006/docPropsVTypes"/>
</file>