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2"/>
          <w:szCs w:val="22"/>
        </w:rPr>
        <w:t xml:space="preserve">IN THE GENERAL DIVISION OF THE HIGH COURT OF THE REPUBLIC OF SINGAPORE</w:t>
      </w:r>
    </w:p>
    <w:p>
      <w:pPr>
        <w:spacing w:after="120"/>
        <w:jc w:val="center"/>
      </w:pPr>
      <w:r>
        <w:rPr>
          <w:rFonts w:ascii="Times New Roman" w:cs="Times New Roman" w:eastAsia="Times New Roman" w:hAnsi="Times New Roman"/>
          <w:b/>
          <w:bCs/>
          <w:sz w:val="22"/>
          <w:szCs w:val="22"/>
        </w:rPr>
        <w:t xml:space="preserve">ADMIRALTY IN PERSONAM NO. HC/ADM 88/2026</w:t>
      </w:r>
    </w:p>
    <w:p>
      <w:r>
        <w:rPr>
          <w:rFonts w:ascii="Times New Roman" w:cs="Times New Roman" w:eastAsia="Times New Roman" w:hAnsi="Times New Roman"/>
          <w:sz w:val="22"/>
          <w:szCs w:val="22"/>
        </w:rPr>
        <w:t xml:space="preserve"/>
      </w:r>
    </w:p>
    <w:p>
      <w:pPr>
        <w:spacing w:after="120"/>
        <w:jc w:val="center"/>
      </w:pPr>
      <w:r>
        <w:rPr>
          <w:rFonts w:ascii="Times New Roman" w:cs="Times New Roman" w:eastAsia="Times New Roman" w:hAnsi="Times New Roman"/>
          <w:sz w:val="22"/>
          <w:szCs w:val="22"/>
        </w:rPr>
        <w:t xml:space="preserve">BETWEEN</w:t>
      </w:r>
    </w:p>
    <w:p>
      <w:pPr>
        <w:spacing w:after="120"/>
        <w:jc w:val="center"/>
      </w:pPr>
      <w:r>
        <w:rPr>
          <w:rFonts w:ascii="Times New Roman" w:cs="Times New Roman" w:eastAsia="Times New Roman" w:hAnsi="Times New Roman"/>
          <w:b/>
          <w:bCs/>
          <w:sz w:val="22"/>
          <w:szCs w:val="22"/>
        </w:rPr>
        <w:t xml:space="preserve">HARBORVIEW SHIPPING PTE LTD</w:t>
      </w:r>
    </w:p>
    <w:p>
      <w:pPr>
        <w:spacing w:after="120"/>
        <w:jc w:val="right"/>
      </w:pPr>
      <w:r>
        <w:rPr>
          <w:rFonts w:ascii="Times New Roman" w:cs="Times New Roman" w:eastAsia="Times New Roman" w:hAnsi="Times New Roman"/>
          <w:i/>
          <w:iCs/>
          <w:sz w:val="22"/>
          <w:szCs w:val="22"/>
        </w:rPr>
        <w:t xml:space="preserve">... Plaintiff</w:t>
      </w:r>
    </w:p>
    <w:p>
      <w:pPr>
        <w:spacing w:after="120"/>
        <w:jc w:val="center"/>
      </w:pPr>
      <w:r>
        <w:rPr>
          <w:rFonts w:ascii="Times New Roman" w:cs="Times New Roman" w:eastAsia="Times New Roman" w:hAnsi="Times New Roman"/>
          <w:sz w:val="22"/>
          <w:szCs w:val="22"/>
        </w:rPr>
        <w:t xml:space="preserve">AND</w:t>
      </w:r>
    </w:p>
    <w:p>
      <w:pPr>
        <w:spacing w:after="120"/>
        <w:jc w:val="center"/>
      </w:pPr>
      <w:r>
        <w:rPr>
          <w:rFonts w:ascii="Times New Roman" w:cs="Times New Roman" w:eastAsia="Times New Roman" w:hAnsi="Times New Roman"/>
          <w:b/>
          <w:bCs/>
          <w:sz w:val="22"/>
          <w:szCs w:val="22"/>
        </w:rPr>
        <w:t xml:space="preserve">STRAITS BUNKER SUPPLIES PTE LTD</w:t>
      </w:r>
    </w:p>
    <w:p>
      <w:pPr>
        <w:spacing w:after="120"/>
        <w:jc w:val="right"/>
      </w:pPr>
      <w:r>
        <w:rPr>
          <w:rFonts w:ascii="Times New Roman" w:cs="Times New Roman" w:eastAsia="Times New Roman" w:hAnsi="Times New Roman"/>
          <w:i/>
          <w:iCs/>
          <w:sz w:val="22"/>
          <w:szCs w:val="22"/>
        </w:rPr>
        <w:t xml:space="preserve">... Defendant</w:t>
      </w:r>
    </w:p>
    <w:p>
      <w:pPr>
        <w:spacing w:after="120"/>
        <w:jc w:val="center"/>
      </w:pPr>
      <w:r>
        <w:rPr>
          <w:rFonts w:ascii="Times New Roman" w:cs="Times New Roman" w:eastAsia="Times New Roman" w:hAnsi="Times New Roman"/>
          <w:b/>
          <w:bCs/>
          <w:sz w:val="22"/>
          <w:szCs w:val="22"/>
        </w:rPr>
        <w:t xml:space="preserve">PLAINTIFF'S SUBMISSIONS IN SUPPORT OF SUMMONS NO. HC/SUM 902/2026</w:t>
      </w:r>
    </w:p>
    <w:p>
      <w:pPr>
        <w:spacing w:after="120"/>
        <w:jc w:val="center"/>
      </w:pPr>
      <w:r>
        <w:rPr>
          <w:rFonts w:ascii="Times New Roman" w:cs="Times New Roman" w:eastAsia="Times New Roman" w:hAnsi="Times New Roman"/>
          <w:b/>
          <w:bCs/>
          <w:sz w:val="20"/>
          <w:szCs w:val="20"/>
        </w:rPr>
        <w:t xml:space="preserve">(APPLICATION FOR SPECIFIC PRODUCTION UNDER ORDER 11 RULE 3, RULES OF COURT 2021)</w:t>
      </w:r>
    </w:p>
    <w:p>
      <w:pPr>
        <w:spacing w:after="120"/>
        <w:jc w:val="center"/>
      </w:pPr>
      <w:r>
        <w:rPr>
          <w:rFonts w:ascii="Times New Roman" w:cs="Times New Roman" w:eastAsia="Times New Roman" w:hAnsi="Times New Roman"/>
          <w:i/>
          <w:iCs/>
          <w:sz w:val="20"/>
          <w:szCs w:val="20"/>
        </w:rPr>
        <w:t xml:space="preserve">(Filed 20 May 2026)</w:t>
      </w:r>
    </w:p>
    <w:p>
      <w:r>
        <w:rPr>
          <w:rFonts w:ascii="Times New Roman" w:cs="Times New Roman" w:eastAsia="Times New Roman" w:hAnsi="Times New Roman"/>
          <w:sz w:val="22"/>
          <w:szCs w:val="22"/>
        </w:rPr>
        <w:t xml:space="preserve"/>
      </w:r>
    </w:p>
    <w:p>
      <w:pPr>
        <w:spacing w:after="200" w:before="300"/>
      </w:pPr>
      <w:r>
        <w:rPr>
          <w:rFonts w:ascii="Times New Roman" w:cs="Times New Roman" w:eastAsia="Times New Roman" w:hAnsi="Times New Roman"/>
          <w:b/>
          <w:bCs/>
          <w:sz w:val="22"/>
          <w:szCs w:val="22"/>
        </w:rPr>
        <w:t xml:space="preserve">A. Introduction</w:t>
      </w:r>
    </w:p>
    <w:p>
      <w:pPr>
        <w:spacing w:after="200" w:line="360"/>
        <w:ind w:left="360" w:hanging="36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This is the Plaintiff's application, by Summons No. HC/SUM 902/2026, for an order that the Defendant produce, within 14 days: (a) the bunker delivery note and loading records for the fuel batch supplied to the MV Straits Pioneer at Jurong anchorage on 3 April 2026; and (b) any independent or in-house fuel testing or laboratory results for that batch.</w:t>
      </w:r>
    </w:p>
    <w:p>
      <w:pPr>
        <w:spacing w:after="200" w:line="360"/>
        <w:ind w:left="360" w:hanging="36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The Plaintiff's claim arises from engine fouling suffered by the MV Straits Pioneer shortly after bunkering, which the Plaintiff's chief engineer attributes to fuel that did not meet the sulphur content specification required under the parties' Bunker Supply Contract dated 15 March 2026.</w:t>
      </w:r>
    </w:p>
    <w:p>
      <w:pPr>
        <w:spacing w:after="200" w:before="300"/>
      </w:pPr>
      <w:r>
        <w:rPr>
          <w:rFonts w:ascii="Times New Roman" w:cs="Times New Roman" w:eastAsia="Times New Roman" w:hAnsi="Times New Roman"/>
          <w:b/>
          <w:bCs/>
          <w:sz w:val="22"/>
          <w:szCs w:val="22"/>
        </w:rPr>
        <w:t xml:space="preserve">B. Compliance With the ISO 8217 Fuel Specification Is the Central and Determinative Issue</w:t>
      </w:r>
    </w:p>
    <w:p>
      <w:pPr>
        <w:spacing w:after="200" w:line="360"/>
        <w:ind w:left="360" w:hanging="36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Clause 9 of the Bunker Supply Contract expressly warrants that fuel supplied will comply with ISO 8217 sulphur content limits. The Defence at paragraph 7 denies any non-compliance. Whether the delivered batch in fact met specification is therefore not a peripheral matter, but the issue on which the entire claim turns.</w:t>
      </w:r>
    </w:p>
    <w:p>
      <w:pPr>
        <w:spacing w:after="200" w:before="300"/>
      </w:pPr>
      <w:r>
        <w:rPr>
          <w:rFonts w:ascii="Times New Roman" w:cs="Times New Roman" w:eastAsia="Times New Roman" w:hAnsi="Times New Roman"/>
          <w:b/>
          <w:bCs/>
          <w:sz w:val="22"/>
          <w:szCs w:val="22"/>
        </w:rPr>
        <w:t xml:space="preserve">C. The Defendant's Own Contractual Retention Obligation Confirms the Records Exist and Are Within Its Control</w:t>
      </w:r>
    </w:p>
    <w:p>
      <w:pPr>
        <w:spacing w:after="200" w:line="360"/>
        <w:ind w:left="360" w:hanging="36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Clause 11 of the Bunker Supply Contract obliges the Defendant to retain fuel samples and testing records for each delivery for a minimum of six months. This is, in itself, sufficient basis to infer that records responsive to this application exist and remain within the Defendant's possession.</w:t>
      </w:r>
    </w:p>
    <w:p>
      <w:pPr>
        <w:spacing w:after="200" w:line="360"/>
        <w:ind w:left="360" w:hanging="36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This inference is reinforced by the Plaintiff's surveyor, who attended the bunkering operation and whose affidavit (Exhibit RK-3) confirms that the Defendant's loading master stated on 3 April 2026 that “the batch would be tested before certification was issued.”</w:t>
      </w:r>
    </w:p>
    <w:p>
      <w:pPr>
        <w:spacing w:after="200" w:before="300"/>
      </w:pPr>
      <w:r>
        <w:rPr>
          <w:rFonts w:ascii="Times New Roman" w:cs="Times New Roman" w:eastAsia="Times New Roman" w:hAnsi="Times New Roman"/>
          <w:b/>
          <w:bCs/>
          <w:sz w:val="22"/>
          <w:szCs w:val="22"/>
        </w:rPr>
        <w:t xml:space="preserve">D. Production Is Necessary Because the Plaintiff Has No Alternative Means of Verification</w:t>
      </w:r>
    </w:p>
    <w:p>
      <w:pPr>
        <w:spacing w:after="200" w:line="360"/>
        <w:ind w:left="360" w:hanging="36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The Plaintiff's own retained bunker samples were consumed during the voyage before the fouling issue was detected and could not be independently tested. In the absence of production, the Plaintiff has no means of independently verifying fuel specification compliance, notwithstanding that documentary evidence on that very question is known to exist.</w:t>
      </w:r>
    </w:p>
    <w:p>
      <w:pPr>
        <w:spacing w:after="200" w:before="300"/>
      </w:pPr>
      <w:r>
        <w:rPr>
          <w:rFonts w:ascii="Times New Roman" w:cs="Times New Roman" w:eastAsia="Times New Roman" w:hAnsi="Times New Roman"/>
          <w:b/>
          <w:bCs/>
          <w:sz w:val="22"/>
          <w:szCs w:val="22"/>
        </w:rPr>
        <w:t xml:space="preserve">E. The Request Is Narrow, Proportionate, and Warrants an Expedited Timeline</w:t>
      </w:r>
    </w:p>
    <w:p>
      <w:pPr>
        <w:spacing w:after="200" w:line="360"/>
        <w:ind w:left="360" w:hanging="36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The request is confined to a single delivery and a narrow date range directly tied to the pleaded breach. Given that off-hire losses continue to accrue at approximately USD 4,500 per day pending resolution of this dispute, the Plaintiff respectfully requests that compliance be ordered within 14 days.</w:t>
      </w:r>
    </w:p>
    <w:p>
      <w:pPr>
        <w:spacing w:after="200" w:before="300"/>
      </w:pPr>
      <w:r>
        <w:rPr>
          <w:rFonts w:ascii="Times New Roman" w:cs="Times New Roman" w:eastAsia="Times New Roman" w:hAnsi="Times New Roman"/>
          <w:b/>
          <w:bCs/>
          <w:sz w:val="22"/>
          <w:szCs w:val="22"/>
        </w:rPr>
        <w:t xml:space="preserve">F. Conclusion</w:t>
      </w:r>
    </w:p>
    <w:p>
      <w:pPr>
        <w:spacing w:after="200" w:line="360"/>
        <w:ind w:left="360" w:hanging="36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For the reasons above, the Plaintiff respectfully asks that Summons No. HC/SUM 902/2026 be allowed, with costs.</w:t>
      </w:r>
    </w:p>
    <w:p>
      <w:pPr>
        <w:spacing w:before="500"/>
      </w:pPr>
      <w:r>
        <w:rPr>
          <w:rFonts w:ascii="Times New Roman" w:cs="Times New Roman" w:eastAsia="Times New Roman" w:hAnsi="Times New Roman"/>
          <w:sz w:val="22"/>
          <w:szCs w:val="22"/>
        </w:rPr>
        <w:t xml:space="preserve">Dated this 20th day of May 2026.</w:t>
      </w:r>
    </w:p>
    <w:p>
      <w:pPr>
        <w:spacing w:before="300"/>
      </w:pPr>
      <w:r>
        <w:rPr>
          <w:rFonts w:ascii="Times New Roman" w:cs="Times New Roman" w:eastAsia="Times New Roman" w:hAnsi="Times New Roman"/>
          <w:b/>
          <w:bCs/>
          <w:sz w:val="22"/>
          <w:szCs w:val="22"/>
        </w:rPr>
        <w:t xml:space="preserve">GOH LEGAL PARTNERS LLC</w:t>
      </w:r>
    </w:p>
    <w:p>
      <w:r>
        <w:rPr>
          <w:rFonts w:ascii="Times New Roman" w:cs="Times New Roman" w:eastAsia="Times New Roman" w:hAnsi="Times New Roman"/>
          <w:sz w:val="22"/>
          <w:szCs w:val="22"/>
        </w:rPr>
        <w:t xml:space="preserve">Solicitors for the Plaintiff</w:t>
      </w:r>
    </w:p>
    <w:sectPr>
      <w:footerReference w:type="default" r:id="rId7"/>
      <w:pgSz w:w="11907" w:h="16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2026-08-19T06:50:00.863Z</dcterms:created>
  <dcterms:modified xsi:type="dcterms:W3CDTF">2026-08-19T06:50:00.863Z</dcterms:modified>
</cp:coreProperties>
</file>

<file path=docProps/custom.xml><?xml version="1.0" encoding="utf-8"?>
<Properties xmlns="http://schemas.openxmlformats.org/officeDocument/2006/custom-properties" xmlns:vt="http://schemas.openxmlformats.org/officeDocument/2006/docPropsVTypes"/>
</file>