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4" w:space="4"/>
          <w:bottom w:val="single" w:color="000000" w:sz="4" w:space="4"/>
        </w:pBdr>
        <w:spacing w:after="300" w:before="100"/>
        <w:jc w:val="center"/>
      </w:pPr>
      <w:r>
        <w:rPr>
          <w:rFonts w:ascii="Times New Roman" w:cs="Times New Roman" w:eastAsia="Times New Roman" w:hAnsi="Times New Roman"/>
          <w:b/>
          <w:bCs/>
          <w:i/>
          <w:iCs/>
          <w:sz w:val="20"/>
          <w:szCs w:val="20"/>
        </w:rPr>
        <w:t xml:space="preserve">DRAFT v2 — CIRCULATED FOR PARTNER REVIEW 19 MARCH 2026 — MARKED UP BY M. HO, RETURNED 20 MARCH 2026</w:t>
      </w:r>
    </w:p>
    <w:p>
      <w:pPr>
        <w:spacing w:after="120"/>
        <w:jc w:val="center"/>
      </w:pPr>
      <w:r>
        <w:rPr>
          <w:rFonts w:ascii="Times New Roman" w:cs="Times New Roman" w:eastAsia="Times New Roman" w:hAnsi="Times New Roman"/>
          <w:b/>
          <w:bCs/>
          <w:sz w:val="22"/>
          <w:szCs w:val="22"/>
        </w:rPr>
        <w:t xml:space="preserve">IN THE GENERAL DIVISION OF THE HIGH COURT OF THE REPUBLIC OF SINGAPORE</w:t>
      </w:r>
    </w:p>
    <w:p>
      <w:pPr>
        <w:spacing w:after="120"/>
        <w:jc w:val="center"/>
      </w:pPr>
      <w:r>
        <w:rPr>
          <w:rFonts w:ascii="Times New Roman" w:cs="Times New Roman" w:eastAsia="Times New Roman" w:hAnsi="Times New Roman"/>
          <w:b/>
          <w:bCs/>
          <w:sz w:val="22"/>
          <w:szCs w:val="22"/>
        </w:rPr>
        <w:t xml:space="preserve">SUIT NO. HC/S 214/2026</w:t>
      </w:r>
    </w:p>
    <w:p>
      <w:r>
        <w:rPr>
          <w:rFonts w:ascii="Times New Roman" w:cs="Times New Roman" w:eastAsia="Times New Roman" w:hAnsi="Times New Roman"/>
          <w:sz w:val="22"/>
          <w:szCs w:val="22"/>
        </w:rPr>
        <w:t xml:space="preserve"/>
      </w:r>
    </w:p>
    <w:p>
      <w:pPr>
        <w:spacing w:after="120"/>
        <w:jc w:val="center"/>
      </w:pPr>
      <w:r>
        <w:rPr>
          <w:rFonts w:ascii="Times New Roman" w:cs="Times New Roman" w:eastAsia="Times New Roman" w:hAnsi="Times New Roman"/>
          <w:sz w:val="22"/>
          <w:szCs w:val="22"/>
        </w:rPr>
        <w:t xml:space="preserve">BETWEEN</w:t>
      </w:r>
    </w:p>
    <w:p>
      <w:pPr>
        <w:spacing w:after="120"/>
        <w:jc w:val="center"/>
      </w:pPr>
      <w:r>
        <w:rPr>
          <w:rFonts w:ascii="Times New Roman" w:cs="Times New Roman" w:eastAsia="Times New Roman" w:hAnsi="Times New Roman"/>
          <w:b/>
          <w:bCs/>
          <w:sz w:val="22"/>
          <w:szCs w:val="22"/>
        </w:rPr>
        <w:t xml:space="preserve">MERIDIAN ROBOTICS PTE LTD</w:t>
      </w:r>
    </w:p>
    <w:p>
      <w:pPr>
        <w:spacing w:after="120"/>
        <w:jc w:val="right"/>
      </w:pPr>
      <w:r>
        <w:rPr>
          <w:rFonts w:ascii="Times New Roman" w:cs="Times New Roman" w:eastAsia="Times New Roman" w:hAnsi="Times New Roman"/>
          <w:i/>
          <w:iCs/>
          <w:sz w:val="22"/>
          <w:szCs w:val="22"/>
        </w:rPr>
        <w:t xml:space="preserve">... Plaintiff</w:t>
      </w:r>
    </w:p>
    <w:p>
      <w:pPr>
        <w:spacing w:after="120"/>
        <w:jc w:val="center"/>
      </w:pPr>
      <w:r>
        <w:rPr>
          <w:rFonts w:ascii="Times New Roman" w:cs="Times New Roman" w:eastAsia="Times New Roman" w:hAnsi="Times New Roman"/>
          <w:sz w:val="22"/>
          <w:szCs w:val="22"/>
        </w:rPr>
        <w:t xml:space="preserve">AND</w:t>
      </w:r>
    </w:p>
    <w:p>
      <w:pPr>
        <w:spacing w:after="120"/>
        <w:jc w:val="center"/>
      </w:pPr>
      <w:r>
        <w:rPr>
          <w:rFonts w:ascii="Times New Roman" w:cs="Times New Roman" w:eastAsia="Times New Roman" w:hAnsi="Times New Roman"/>
          <w:b/>
          <w:bCs/>
          <w:sz w:val="22"/>
          <w:szCs w:val="22"/>
        </w:rPr>
        <w:t xml:space="preserve">VANTAGE COMPONENTS PTE LTD</w:t>
      </w:r>
    </w:p>
    <w:p>
      <w:pPr>
        <w:spacing w:after="120"/>
        <w:jc w:val="right"/>
      </w:pPr>
      <w:r>
        <w:rPr>
          <w:rFonts w:ascii="Times New Roman" w:cs="Times New Roman" w:eastAsia="Times New Roman" w:hAnsi="Times New Roman"/>
          <w:i/>
          <w:iCs/>
          <w:sz w:val="22"/>
          <w:szCs w:val="22"/>
        </w:rPr>
        <w:t xml:space="preserve">... Defendant</w:t>
      </w:r>
    </w:p>
    <w:p>
      <w:pPr>
        <w:spacing w:after="120"/>
        <w:jc w:val="center"/>
      </w:pPr>
      <w:r>
        <w:rPr>
          <w:rFonts w:ascii="Times New Roman" w:cs="Times New Roman" w:eastAsia="Times New Roman" w:hAnsi="Times New Roman"/>
          <w:b/>
          <w:bCs/>
          <w:sz w:val="22"/>
          <w:szCs w:val="22"/>
        </w:rPr>
        <w:t xml:space="preserve">PLAINTIFF'S SUBMISSIONS IN SUPPORT OF SUMMONS NO. HC/SUM 611/2026</w:t>
      </w:r>
    </w:p>
    <w:p>
      <w:pPr>
        <w:spacing w:after="120"/>
        <w:jc w:val="center"/>
      </w:pPr>
      <w:r>
        <w:rPr>
          <w:rFonts w:ascii="Times New Roman" w:cs="Times New Roman" w:eastAsia="Times New Roman" w:hAnsi="Times New Roman"/>
          <w:b/>
          <w:bCs/>
          <w:sz w:val="20"/>
          <w:szCs w:val="20"/>
        </w:rPr>
        <w:t xml:space="preserve">(APPLICATION FOR SPECIFIC PRODUCTION UNDER ORDER 11 RULE 3, RULES OF COURT 2021)</w:t>
      </w:r>
    </w:p>
    <w:p>
      <w:pPr>
        <w:spacing w:after="300"/>
      </w:pPr>
      <w:r>
        <w:rPr>
          <w:rFonts w:ascii="Times New Roman" w:cs="Times New Roman" w:eastAsia="Times New Roman" w:hAnsi="Times New Roman"/>
          <w:sz w:val="22"/>
          <w:szCs w:val="22"/>
        </w:rPr>
        <w:t xml:space="preserve"/>
      </w:r>
    </w:p>
    <w:p>
      <w:pPr>
        <w:spacing w:after="200" w:before="300"/>
      </w:pPr>
      <w:r>
        <w:rPr>
          <w:rFonts w:ascii="Times New Roman" w:cs="Times New Roman" w:eastAsia="Times New Roman" w:hAnsi="Times New Roman"/>
          <w:b/>
          <w:bCs/>
          <w:sz w:val="22"/>
          <w:szCs w:val="22"/>
        </w:rPr>
        <w:t xml:space="preserve">A. Introduction</w:t>
      </w:r>
    </w:p>
    <w:p>
      <w:pPr>
        <w:spacing w:after="200" w:line="360"/>
        <w:ind w:left="36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This is the Plaintiff's application for an order that the Defendant produce, within 14 days: (a) its internal quality assurance and defect logs relating to Production Run 2025-B44 of servo housing units; and (b) correspondence between the Defendant and its sub-contractor concerning tolerance deviations affecting the said production run.</w:t>
      </w:r>
    </w:p>
    <w:p>
      <w:pPr>
        <w:spacing w:after="200" w:before="300"/>
      </w:pPr>
      <w:r>
        <w:rPr>
          <w:rFonts w:ascii="Times New Roman" w:cs="Times New Roman" w:eastAsia="Times New Roman" w:hAnsi="Times New Roman"/>
          <w:b/>
          <w:bCs/>
          <w:sz w:val="22"/>
          <w:szCs w:val="22"/>
        </w:rPr>
        <w:t xml:space="preserve">B. The Applicable Threshold Under Order 11 Rule 3</w:t>
      </w:r>
    </w:p>
    <w:p>
      <w:pPr>
        <w:spacing w:after="200" w:line="360"/>
        <w:ind w:left="36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trike/>
          <w:sz w:val="22"/>
          <w:szCs w:val="22"/>
        </w:rPr>
        <w:t xml:space="preserve">The court has a discretion to order production of documents where it thinks this is appropriate. </w:t>
      </w:r>
      <w:r>
        <w:rPr>
          <w:rFonts w:ascii="Times New Roman" w:cs="Times New Roman" w:eastAsia="Times New Roman" w:hAnsi="Times New Roman"/>
          <w:sz w:val="22"/>
          <w:szCs w:val="22"/>
          <w:u w:val="single"/>
        </w:rPr>
        <w:t xml:space="preserve">Order 11 Rule 3 of the Rules of Court 2021 permits the Court to order a party to produce specifically identified documents, or documents falling within a specifically identified narrow class, where the applicant shows the documents are material to the issues and that production is necessary for the fair and expeditious disposal of the case.</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[M. Ho, 20 Mar]: </w:t>
      </w:r>
      <w:r>
        <w:rPr>
          <w:rFonts w:ascii="Times New Roman" w:cs="Times New Roman" w:eastAsia="Times New Roman" w:hAnsi="Times New Roman"/>
          <w:i/>
          <w:iCs/>
          <w:sz w:val="20"/>
          <w:szCs w:val="20"/>
        </w:rPr>
        <w:t xml:space="preserve">Don't paraphrase the threshold loosely — state it properly, with the four limbs (materiality, existence/control, necessity, proportionality), and cite the authority once J. Lim has pulled it. This paragraph is the anchor for everything that follows.</w:t>
      </w:r>
    </w:p>
    <w:p>
      <w:pPr>
        <w:spacing w:after="200" w:before="300"/>
      </w:pPr>
      <w:r>
        <w:rPr>
          <w:rFonts w:ascii="Times New Roman" w:cs="Times New Roman" w:eastAsia="Times New Roman" w:hAnsi="Times New Roman"/>
          <w:b/>
          <w:bCs/>
          <w:sz w:val="22"/>
          <w:szCs w:val="22"/>
        </w:rPr>
        <w:t xml:space="preserve">C. The Defect Logs Are Material to Whether Vantage Knew of the Tolerance Deviation Before Shipment</w:t>
      </w:r>
    </w:p>
    <w:p>
      <w:pPr>
        <w:spacing w:after="200" w:line="360"/>
        <w:ind w:left="36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The Defence at paragraph 12 denies that the Defendant had any knowledge of a tolerance deviation prior to shipment on 3 June 2025. </w:t>
      </w:r>
      <w:r>
        <w:rPr>
          <w:rFonts w:ascii="Times New Roman" w:cs="Times New Roman" w:eastAsia="Times New Roman" w:hAnsi="Times New Roman"/>
          <w:strike/>
          <w:sz w:val="22"/>
          <w:szCs w:val="22"/>
        </w:rPr>
        <w:t xml:space="preserve">This is an important issue in the case.</w:t>
      </w:r>
      <w:r>
        <w:rPr>
          <w:rFonts w:ascii="Times New Roman" w:cs="Times New Roman" w:eastAsia="Times New Roman" w:hAnsi="Times New Roman"/>
          <w:sz w:val="22"/>
          <w:szCs w:val="22"/>
          <w:u w:val="single"/>
        </w:rPr>
        <w:t xml:space="preserve">This is the central factual dispute on liability, and bears directly on the Plaintiff's claim for aggravated damages and on rebutting the limitation of liability defence pleaded at paragraph 18 of the Defence.</w:t>
      </w:r>
    </w:p>
    <w:p>
      <w:pPr>
        <w:spacing w:after="200" w:line="360"/>
        <w:ind w:left="36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The Plaintiff's post-delivery inspection recorded a defect rate of 22%, more than ten times the contractual specification of under 2% </w:t>
      </w:r>
      <w:r>
        <w:rPr>
          <w:rFonts w:ascii="Times New Roman" w:cs="Times New Roman" w:eastAsia="Times New Roman" w:hAnsi="Times New Roman"/>
          <w:strike/>
          <w:sz w:val="22"/>
          <w:szCs w:val="22"/>
        </w:rPr>
        <w:t xml:space="preserve">which is obviously very high</w:t>
      </w:r>
      <w:r>
        <w:rPr>
          <w:rFonts w:ascii="Times New Roman" w:cs="Times New Roman" w:eastAsia="Times New Roman" w:hAnsi="Times New Roman"/>
          <w:sz w:val="22"/>
          <w:szCs w:val="22"/>
          <w:u w:val="single"/>
        </w:rPr>
        <w:t xml:space="preserve">(Exhibit WLT-2). A defect rate of that magnitude is difficult to reconcile with the Defendant's pleaded position that it had no prior indication of a manufacturing tolerance issue.</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[M. Ho, 20 Mar]: </w:t>
      </w:r>
      <w:r>
        <w:rPr>
          <w:rFonts w:ascii="Times New Roman" w:cs="Times New Roman" w:eastAsia="Times New Roman" w:hAnsi="Times New Roman"/>
          <w:i/>
          <w:iCs/>
          <w:sz w:val="20"/>
          <w:szCs w:val="20"/>
        </w:rPr>
        <w:t xml:space="preserve">Good instinct linking the defect rate to the knowledge issue, but the first version read as advocacy without evidence behind it. Always land on the exhibit reference — the number means nothing to the judge without it.</w:t>
      </w:r>
    </w:p>
    <w:p>
      <w:pPr>
        <w:spacing w:after="200" w:before="300"/>
      </w:pPr>
      <w:r>
        <w:rPr>
          <w:rFonts w:ascii="Times New Roman" w:cs="Times New Roman" w:eastAsia="Times New Roman" w:hAnsi="Times New Roman"/>
          <w:b/>
          <w:bCs/>
          <w:sz w:val="22"/>
          <w:szCs w:val="22"/>
        </w:rPr>
        <w:t xml:space="preserve">D. The Documents Sought Exist and Are Within the Defendant's Control</w:t>
      </w:r>
    </w:p>
    <w:p>
      <w:pPr>
        <w:spacing w:after="200" w:line="360"/>
        <w:ind w:left="360" w:hanging="3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The Defendant's product recall notice dated 11 January 2026 </w:t>
      </w:r>
      <w:r>
        <w:rPr>
          <w:rFonts w:ascii="Times New Roman" w:cs="Times New Roman" w:eastAsia="Times New Roman" w:hAnsi="Times New Roman"/>
          <w:strike/>
          <w:sz w:val="22"/>
          <w:szCs w:val="22"/>
        </w:rPr>
        <w:t xml:space="preserve">mentions an internal review</w:t>
      </w:r>
      <w:r>
        <w:rPr>
          <w:rFonts w:ascii="Times New Roman" w:cs="Times New Roman" w:eastAsia="Times New Roman" w:hAnsi="Times New Roman"/>
          <w:sz w:val="22"/>
          <w:szCs w:val="22"/>
          <w:u w:val="single"/>
        </w:rPr>
        <w:t xml:space="preserve">(Exhibit WLT-4) states that the recall followed “an internal review of the affected production batch,” which is itself an admission that QA and defect logs for that batch were generated and remain within the Defendant's possession, custody or control.</w:t>
      </w:r>
    </w:p>
    <w:p>
      <w:pPr>
        <w:spacing w:after="200" w:before="300"/>
      </w:pPr>
      <w:r>
        <w:rPr>
          <w:rFonts w:ascii="Times New Roman" w:cs="Times New Roman" w:eastAsia="Times New Roman" w:hAnsi="Times New Roman"/>
          <w:b/>
          <w:bCs/>
          <w:sz w:val="22"/>
          <w:szCs w:val="22"/>
        </w:rPr>
        <w:t xml:space="preserve">E. Production Is Necessary and the Request Is Proportionate</w:t>
      </w:r>
    </w:p>
    <w:p>
      <w:pPr>
        <w:spacing w:after="200" w:line="360"/>
        <w:ind w:left="360" w:hanging="3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The Plaintiff has no other reasonable means of establishing pre-shipment knowledge, as the relevant internal communications are exclusively within the Defendant's possession.</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Drafting note: </w:t>
      </w:r>
      <w:r>
        <w:rPr>
          <w:rFonts w:ascii="Times New Roman" w:cs="Times New Roman" w:eastAsia="Times New Roman" w:hAnsi="Times New Roman"/>
          <w:i/>
          <w:iCs/>
          <w:sz w:val="20"/>
          <w:szCs w:val="20"/>
        </w:rPr>
        <w:t xml:space="preserve">Marcus — do we need a fallback proportionality paragraph in case Vantage argues the date range is too broad? Happy to add if you think the bench will push on this.</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[M. Ho, 20 Mar]: </w:t>
      </w:r>
      <w:r>
        <w:rPr>
          <w:rFonts w:ascii="Times New Roman" w:cs="Times New Roman" w:eastAsia="Times New Roman" w:hAnsi="Times New Roman"/>
          <w:i/>
          <w:iCs/>
          <w:sz w:val="20"/>
          <w:szCs w:val="20"/>
        </w:rPr>
        <w:t xml:space="preserve">Yes, add two lines confirming the request is confined to a single production run and a two-month window — pre-empt the objection rather than waiting for it. See final draft.</w:t>
      </w:r>
    </w:p>
    <w:p>
      <w:pPr>
        <w:spacing w:after="200" w:before="300"/>
      </w:pPr>
      <w:r>
        <w:rPr>
          <w:rFonts w:ascii="Times New Roman" w:cs="Times New Roman" w:eastAsia="Times New Roman" w:hAnsi="Times New Roman"/>
          <w:b/>
          <w:bCs/>
          <w:sz w:val="22"/>
          <w:szCs w:val="22"/>
        </w:rPr>
        <w:t xml:space="preserve">F. Conclusion</w:t>
      </w:r>
    </w:p>
    <w:p>
      <w:pPr>
        <w:spacing w:after="200" w:line="360"/>
        <w:ind w:left="360" w:hanging="3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For the reasons above, the Plaintiff respectfully asks that the application be allowed, with costs.</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[M. Ho, 20 Mar]: </w:t>
      </w:r>
      <w:r>
        <w:rPr>
          <w:rFonts w:ascii="Times New Roman" w:cs="Times New Roman" w:eastAsia="Times New Roman" w:hAnsi="Times New Roman"/>
          <w:i/>
          <w:iCs/>
          <w:sz w:val="20"/>
          <w:szCs w:val="20"/>
        </w:rPr>
        <w:t xml:space="preserve">Overall this is in good shape — tighten section B along the lines above, add the proportionality point to section E, and send me the clean version before we file. Good work, Jo.</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2026-08-19T06:57:32.816Z</dcterms:created>
  <dcterms:modified xsi:type="dcterms:W3CDTF">2026-08-19T06:57:32.830Z</dcterms:modified>
</cp:coreProperties>
</file>

<file path=docProps/custom.xml><?xml version="1.0" encoding="utf-8"?>
<Properties xmlns="http://schemas.openxmlformats.org/officeDocument/2006/custom-properties" xmlns:vt="http://schemas.openxmlformats.org/officeDocument/2006/docPropsVTypes"/>
</file>