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4" w:space="4"/>
          <w:bottom w:val="single" w:color="000000" w:sz="4" w:space="4"/>
        </w:pBdr>
        <w:spacing w:after="300" w:before="100"/>
        <w:jc w:val="center"/>
      </w:pPr>
      <w:r>
        <w:rPr>
          <w:rFonts w:ascii="Times New Roman" w:cs="Times New Roman" w:eastAsia="Times New Roman" w:hAnsi="Times New Roman"/>
          <w:b/>
          <w:bCs/>
          <w:i/>
          <w:iCs/>
          <w:sz w:val="20"/>
          <w:szCs w:val="20"/>
        </w:rPr>
        <w:t xml:space="preserve">DRAFT v1 — CIRCULATED FOR PARTNER REVIEW 8 JULY 2026 — MARKED UP BY C. ANG, RETURNED 9 JULY 2026</w:t>
      </w:r>
    </w:p>
    <w:p>
      <w:pPr>
        <w:spacing w:after="120"/>
        <w:jc w:val="center"/>
      </w:pPr>
      <w:r>
        <w:rPr>
          <w:rFonts w:ascii="Times New Roman" w:cs="Times New Roman" w:eastAsia="Times New Roman" w:hAnsi="Times New Roman"/>
          <w:b/>
          <w:bCs/>
          <w:sz w:val="26"/>
          <w:szCs w:val="26"/>
        </w:rPr>
        <w:t xml:space="preserve">TRADEMARK LICENSING AGREEMENT</w:t>
      </w:r>
    </w:p>
    <w:p>
      <w:r>
        <w:rPr>
          <w:rFonts w:ascii="Times New Roman" w:cs="Times New Roman" w:eastAsia="Times New Roman" w:hAnsi="Times New Roman"/>
          <w:sz w:val="22"/>
          <w:szCs w:val="22"/>
        </w:rPr>
        <w:t xml:space="preserve"/>
      </w:r>
    </w:p>
    <w:p>
      <w:pPr>
        <w:spacing w:after="200" w:line="360"/>
        <w:jc w:val="both"/>
      </w:pPr>
      <w:r>
        <w:rPr>
          <w:rFonts w:ascii="Times New Roman" w:cs="Times New Roman" w:eastAsia="Times New Roman" w:hAnsi="Times New Roman"/>
          <w:sz w:val="22"/>
          <w:szCs w:val="22"/>
        </w:rPr>
        <w:t xml:space="preserve">BETWEEN: BrightPath Learning Pte Ltd ("Licensor") AND EduViet Co Ltd ("Licensee")</w:t>
      </w:r>
    </w:p>
    <w:p>
      <w:pPr>
        <w:spacing w:after="100" w:before="200" w:line="36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Grant of Licence</w:t>
      </w:r>
      <w:r>
        <w:br/>
      </w:r>
      <w:r>
        <w:rPr>
          <w:rFonts w:ascii="Times New Roman" w:cs="Times New Roman" w:eastAsia="Times New Roman" w:hAnsi="Times New Roman"/>
          <w:sz w:val="22"/>
          <w:szCs w:val="22"/>
        </w:rPr>
        <w:t xml:space="preserve">The Licensor grants the Licensee a non-exclusive, non-transferable licence to use the "BrightPath Learning" trademark and associated branding materials solely in connection with the operation of tuition centres in Hanoi and Ho Chi Minh City, Vietnam.</w:t>
      </w:r>
    </w:p>
    <w:p>
      <w:pPr>
        <w:spacing w:after="100" w:before="200" w:line="36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Term</w:t>
      </w:r>
      <w:r>
        <w:br/>
      </w:r>
      <w:r>
        <w:rPr>
          <w:rFonts w:ascii="Times New Roman" w:cs="Times New Roman" w:eastAsia="Times New Roman" w:hAnsi="Times New Roman"/>
          <w:sz w:val="22"/>
          <w:szCs w:val="22"/>
        </w:rPr>
        <w:t xml:space="preserve">This Agreement shall commence on the Effective Date and continue for a period of 5 years, unless earlier terminated.</w:t>
      </w:r>
    </w:p>
    <w:p>
      <w:pPr>
        <w:spacing w:after="100" w:before="200" w:line="36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Royalty</w:t>
      </w:r>
      <w:r>
        <w:br/>
      </w:r>
      <w:r>
        <w:rPr>
          <w:rFonts w:ascii="Times New Roman" w:cs="Times New Roman" w:eastAsia="Times New Roman" w:hAnsi="Times New Roman"/>
          <w:sz w:val="22"/>
          <w:szCs w:val="22"/>
        </w:rPr>
        <w:t xml:space="preserve">The Licensee shall pay the Licensor a royalty of 6% of Gross Revenue, payable quarterly.</w:t>
      </w:r>
    </w:p>
    <w:p>
      <w:pPr>
        <w:spacing w:after="100" w:before="20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Quality Control</w:t>
      </w:r>
    </w:p>
    <w:p>
      <w:pPr>
        <w:spacing w:after="100" w:line="360"/>
        <w:jc w:val="both"/>
      </w:pPr>
      <w:r>
        <w:rPr>
          <w:rFonts w:ascii="Times New Roman" w:cs="Times New Roman" w:eastAsia="Times New Roman" w:hAnsi="Times New Roman"/>
          <w:strike/>
          <w:sz w:val="22"/>
          <w:szCs w:val="22"/>
        </w:rPr>
        <w:t xml:space="preserve">The Licensor can check on the centres from time to time.</w:t>
      </w:r>
    </w:p>
    <w:p>
      <w:pPr>
        <w:spacing w:after="200" w:line="360"/>
        <w:jc w:val="both"/>
      </w:pPr>
      <w:r>
        <w:rPr>
          <w:rFonts w:ascii="Times New Roman" w:cs="Times New Roman" w:eastAsia="Times New Roman" w:hAnsi="Times New Roman"/>
          <w:sz w:val="22"/>
          <w:szCs w:val="22"/>
          <w:u w:val="single"/>
        </w:rPr>
        <w:t xml:space="preserve">The Licensor shall have the right, upon reasonable notice, to inspect any licensed premises and audit compliance with the Licensor's brand and curriculum standards no more than twice per calendar year.</w:t>
      </w:r>
    </w:p>
    <w:p>
      <w:pPr>
        <w:pBdr>
          <w:top w:val="single" w:color="808080" w:sz="2" w:space="4"/>
        </w:pBdr>
        <w:spacing w:after="240" w:before="120"/>
        <w:ind w:left="500"/>
      </w:pPr>
      <w:r>
        <w:rPr>
          <w:rFonts w:ascii="Times New Roman" w:cs="Times New Roman" w:eastAsia="Times New Roman" w:hAnsi="Times New Roman"/>
          <w:b/>
          <w:bCs/>
          <w:i/>
          <w:iCs/>
          <w:sz w:val="20"/>
          <w:szCs w:val="20"/>
        </w:rPr>
        <w:t xml:space="preserve">Comment [C. Ang, 9 Jul]: </w:t>
      </w:r>
      <w:r>
        <w:rPr>
          <w:rFonts w:ascii="Times New Roman" w:cs="Times New Roman" w:eastAsia="Times New Roman" w:hAnsi="Times New Roman"/>
          <w:i/>
          <w:iCs/>
          <w:sz w:val="20"/>
          <w:szCs w:val="20"/>
        </w:rPr>
        <w:t xml:space="preserve">"From time to time" isn't enforceable — a licensee will always push back on open-ended inspection rights. Give it a concrete frequency and a notice requirement, as above; that's the market standard we used on the Malaysia licence.</w:t>
      </w:r>
    </w:p>
    <w:p>
      <w:pPr>
        <w:spacing w:after="100" w:before="20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Non-Compete</w:t>
      </w:r>
    </w:p>
    <w:p>
      <w:pPr>
        <w:spacing w:after="200" w:line="360"/>
        <w:jc w:val="both"/>
      </w:pPr>
      <w:r>
        <w:rPr>
          <w:rFonts w:ascii="Times New Roman" w:cs="Times New Roman" w:eastAsia="Times New Roman" w:hAnsi="Times New Roman"/>
          <w:strike/>
          <w:sz w:val="22"/>
          <w:szCs w:val="22"/>
        </w:rPr>
        <w:t xml:space="preserve">[TO COMPLETE — confirm scope]</w:t>
      </w:r>
    </w:p>
    <w:p>
      <w:pPr>
        <w:pBdr>
          <w:top w:val="single" w:color="808080" w:sz="2" w:space="4"/>
        </w:pBdr>
        <w:spacing w:after="240" w:before="120"/>
        <w:ind w:left="500"/>
      </w:pPr>
      <w:r>
        <w:rPr>
          <w:rFonts w:ascii="Times New Roman" w:cs="Times New Roman" w:eastAsia="Times New Roman" w:hAnsi="Times New Roman"/>
          <w:b/>
          <w:bCs/>
          <w:i/>
          <w:iCs/>
          <w:sz w:val="20"/>
          <w:szCs w:val="20"/>
        </w:rPr>
        <w:t xml:space="preserve">Drafting note: </w:t>
      </w:r>
      <w:r>
        <w:rPr>
          <w:rFonts w:ascii="Times New Roman" w:cs="Times New Roman" w:eastAsia="Times New Roman" w:hAnsi="Times New Roman"/>
          <w:i/>
          <w:iCs/>
          <w:sz w:val="20"/>
          <w:szCs w:val="20"/>
        </w:rPr>
        <w:t xml:space="preserve">still need to confirm with Kevin whether he wants a regional non-compete or Vietnam-only before we send this out — flagged to him, awaiting reply.</w:t>
      </w:r>
    </w:p>
    <w:p>
      <w:pPr>
        <w:spacing w:after="100" w:before="20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Trademark Registration</w:t>
      </w:r>
    </w:p>
    <w:p>
      <w:pPr>
        <w:spacing w:after="200" w:line="360"/>
        <w:jc w:val="both"/>
      </w:pPr>
      <w:r>
        <w:rPr>
          <w:rFonts w:ascii="Times New Roman" w:cs="Times New Roman" w:eastAsia="Times New Roman" w:hAnsi="Times New Roman"/>
          <w:sz w:val="22"/>
          <w:szCs w:val="22"/>
          <w:u w:val="single"/>
        </w:rPr>
        <w:t xml:space="preserve">The Licensor confirms that an application to register "BrightPath Learning" as a trademark in Vietnam was filed on 10 July 2026 and is pending registration.</w:t>
      </w:r>
    </w:p>
    <w:p>
      <w:pPr>
        <w:pBdr>
          <w:top w:val="single" w:color="808080" w:sz="2" w:space="4"/>
        </w:pBdr>
        <w:spacing w:after="240" w:before="120"/>
        <w:ind w:left="500"/>
      </w:pPr>
      <w:r>
        <w:rPr>
          <w:rFonts w:ascii="Times New Roman" w:cs="Times New Roman" w:eastAsia="Times New Roman" w:hAnsi="Times New Roman"/>
          <w:b/>
          <w:bCs/>
          <w:i/>
          <w:iCs/>
          <w:sz w:val="20"/>
          <w:szCs w:val="20"/>
        </w:rPr>
        <w:t xml:space="preserve">Comment [C. Ang, 9 Jul]: </w:t>
      </w:r>
      <w:r>
        <w:rPr>
          <w:rFonts w:ascii="Times New Roman" w:cs="Times New Roman" w:eastAsia="Times New Roman" w:hAnsi="Times New Roman"/>
          <w:i/>
          <w:iCs/>
          <w:sz w:val="20"/>
          <w:szCs w:val="20"/>
        </w:rPr>
        <w:t xml:space="preserve">Filing has now gone in, so this clause can be finalised — update once we have the application number back from the Vietnamese agent.</w:t>
      </w:r>
    </w:p>
    <w:sectPr>
      <w:footerReference w:type="default" r:id="rId7"/>
      <w:pgSz w:w="11907" w:h="16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2026-08-19T06:59:18.167Z</dcterms:created>
  <dcterms:modified xsi:type="dcterms:W3CDTF">2026-08-19T06:59:18.168Z</dcterms:modified>
</cp:coreProperties>
</file>

<file path=docProps/custom.xml><?xml version="1.0" encoding="utf-8"?>
<Properties xmlns="http://schemas.openxmlformats.org/officeDocument/2006/custom-properties" xmlns:vt="http://schemas.openxmlformats.org/officeDocument/2006/docPropsVTypes"/>
</file>