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4" w:space="4"/>
          <w:bottom w:val="single" w:color="000000" w:sz="4" w:space="4"/>
        </w:pBdr>
        <w:spacing w:after="300" w:before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REDLINED — COMMENTS FROM EDUVIET'S COUNSEL, RECEIVED 18 JULY 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TRADEMARK LICENSING AGREEMENT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 3.1.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Royalty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trike/>
          <w:sz w:val="22"/>
          <w:szCs w:val="22"/>
        </w:rPr>
        <w:t xml:space="preserve">6% of Gross Revenue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5% of Gross Revenue for Years 1–2, increasing to 6% from Year 3 onward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[EduViet Counsel, 18 July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Our client needs a lower rate during the initial ramp-up period.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 5.1.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Non-Compete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The Licensee shall not operate or have any interest in a competing tuition centre brand within Vietnam during the Term and for 12 months following termination.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[EduViet Counsel, 18 July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Client accepts a Vietnam-only restriction but would not agree to a broader regional non-compete.</w:t>
      </w:r>
    </w:p>
    <w:p>
      <w:pPr>
        <w:pBdr>
          <w:top w:val="single" w:color="808080" w:sz="2" w:space="4"/>
        </w:pBdr>
        <w:spacing w:after="240" w:before="120"/>
        <w:ind w:left="5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Comment [N. Farid (internal), 19 July 2026]: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Tiered royalty seems commercially reasonable, recommend client accept. Non-compete scope narrowed to Vietnam-only is consistent with what we advised Kevin was likely achievable.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2026-08-19T06:59:18.188Z</dcterms:created>
  <dcterms:modified xsi:type="dcterms:W3CDTF">2026-08-19T06:59:18.188Z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