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2"/>
          <w:szCs w:val="22"/>
        </w:rPr>
        <w:t xml:space="preserve">IN THE GENERAL DIVISION OF THE HIGH COURT OF THE REPUBLIC OF SINGAPORE</w:t>
      </w:r>
    </w:p>
    <w:p>
      <w:pPr>
        <w:spacing w:after="120"/>
        <w:jc w:val="center"/>
      </w:pPr>
      <w:r>
        <w:rPr>
          <w:rFonts w:ascii="Times New Roman" w:cs="Times New Roman" w:eastAsia="Times New Roman" w:hAnsi="Times New Roman"/>
          <w:b/>
          <w:bCs/>
          <w:sz w:val="22"/>
          <w:szCs w:val="22"/>
        </w:rPr>
        <w:t xml:space="preserve">SUIT NO. HC/S 214/2026</w:t>
      </w:r>
    </w:p>
    <w:p>
      <w:pPr>
        <w:spacing w:after="200"/>
      </w:pPr>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sz w:val="22"/>
          <w:szCs w:val="22"/>
        </w:rPr>
        <w:t xml:space="preserve">BETWEEN</w:t>
      </w:r>
    </w:p>
    <w:p>
      <w:pPr>
        <w:spacing w:after="120"/>
        <w:jc w:val="center"/>
      </w:pPr>
      <w:r>
        <w:rPr>
          <w:rFonts w:ascii="Times New Roman" w:cs="Times New Roman" w:eastAsia="Times New Roman" w:hAnsi="Times New Roman"/>
          <w:b/>
          <w:bCs/>
          <w:sz w:val="22"/>
          <w:szCs w:val="22"/>
        </w:rPr>
        <w:t xml:space="preserve">MERIDIAN ROBOTICS PTE LTD</w:t>
      </w:r>
    </w:p>
    <w:p>
      <w:pPr>
        <w:jc w:val="right"/>
      </w:pPr>
      <w:r>
        <w:rPr>
          <w:rFonts w:ascii="Times New Roman" w:cs="Times New Roman" w:eastAsia="Times New Roman" w:hAnsi="Times New Roman"/>
          <w:i/>
          <w:iCs/>
          <w:sz w:val="22"/>
          <w:szCs w:val="22"/>
        </w:rPr>
        <w:t xml:space="preserve">... Plaintiff</w:t>
      </w:r>
    </w:p>
    <w:p>
      <w:pPr>
        <w:spacing w:after="120"/>
        <w:jc w:val="center"/>
      </w:pPr>
      <w:r>
        <w:rPr>
          <w:rFonts w:ascii="Times New Roman" w:cs="Times New Roman" w:eastAsia="Times New Roman" w:hAnsi="Times New Roman"/>
          <w:sz w:val="22"/>
          <w:szCs w:val="22"/>
        </w:rPr>
        <w:t xml:space="preserve">AND</w:t>
      </w:r>
    </w:p>
    <w:p>
      <w:pPr>
        <w:spacing w:after="120"/>
        <w:jc w:val="center"/>
      </w:pPr>
      <w:r>
        <w:rPr>
          <w:rFonts w:ascii="Times New Roman" w:cs="Times New Roman" w:eastAsia="Times New Roman" w:hAnsi="Times New Roman"/>
          <w:b/>
          <w:bCs/>
          <w:sz w:val="22"/>
          <w:szCs w:val="22"/>
        </w:rPr>
        <w:t xml:space="preserve">VANTAGE COMPONENTS PTE LTD</w:t>
      </w:r>
    </w:p>
    <w:p>
      <w:pPr>
        <w:spacing w:after="300"/>
        <w:jc w:val="right"/>
      </w:pPr>
      <w:r>
        <w:rPr>
          <w:rFonts w:ascii="Times New Roman" w:cs="Times New Roman" w:eastAsia="Times New Roman" w:hAnsi="Times New Roman"/>
          <w:i/>
          <w:iCs/>
          <w:sz w:val="22"/>
          <w:szCs w:val="22"/>
        </w:rPr>
        <w:t xml:space="preserve">... Defendant</w:t>
      </w:r>
    </w:p>
    <w:p>
      <w:pPr>
        <w:spacing w:after="120"/>
        <w:jc w:val="center"/>
      </w:pPr>
      <w:r>
        <w:rPr>
          <w:rFonts w:ascii="Times New Roman" w:cs="Times New Roman" w:eastAsia="Times New Roman" w:hAnsi="Times New Roman"/>
          <w:b/>
          <w:bCs/>
          <w:sz w:val="22"/>
          <w:szCs w:val="22"/>
        </w:rPr>
        <w:t xml:space="preserve">PLAINTIFF'S SUBMISSIONS IN SUPPORT OF SUMMONS NO. HC/SUM 611/2026</w:t>
      </w:r>
    </w:p>
    <w:p>
      <w:pPr>
        <w:spacing w:after="120"/>
        <w:jc w:val="center"/>
      </w:pPr>
      <w:r>
        <w:rPr>
          <w:rFonts w:ascii="Times New Roman" w:cs="Times New Roman" w:eastAsia="Times New Roman" w:hAnsi="Times New Roman"/>
          <w:b/>
          <w:bCs/>
          <w:sz w:val="20"/>
          <w:szCs w:val="20"/>
        </w:rPr>
        <w:t xml:space="preserve">(APPLICATION FOR SPECIFIC PRODUCTION UNDER ORDER 11 RULE 3, RULES OF COURT 2021)</w:t>
      </w:r>
    </w:p>
    <w:p>
      <w:pPr>
        <w:spacing w:after="120"/>
        <w:jc w:val="center"/>
      </w:pPr>
      <w:r>
        <w:rPr>
          <w:rFonts w:ascii="Times New Roman" w:cs="Times New Roman" w:eastAsia="Times New Roman" w:hAnsi="Times New Roman"/>
          <w:i/>
          <w:iCs/>
          <w:sz w:val="20"/>
          <w:szCs w:val="20"/>
        </w:rPr>
        <w:t xml:space="preserve">(Filed 2 April 2026)</w:t>
      </w:r>
    </w:p>
    <w:p>
      <w:pPr>
        <w:spacing w:after="300"/>
      </w:pPr>
      <w:r>
        <w:rPr>
          <w:rFonts w:ascii="Times New Roman" w:cs="Times New Roman" w:eastAsia="Times New Roman" w:hAnsi="Times New Roman"/>
          <w:sz w:val="22"/>
          <w:szCs w:val="22"/>
        </w:rPr>
        <w:t xml:space="preserve"/>
      </w:r>
    </w:p>
    <w:p>
      <w:pPr>
        <w:spacing w:after="200" w:before="300"/>
      </w:pPr>
      <w:r>
        <w:rPr>
          <w:rFonts w:ascii="Times New Roman" w:cs="Times New Roman" w:eastAsia="Times New Roman" w:hAnsi="Times New Roman"/>
          <w:b/>
          <w:bCs/>
          <w:sz w:val="22"/>
          <w:szCs w:val="22"/>
        </w:rPr>
        <w:t xml:space="preserve">A. Introduction</w:t>
      </w:r>
    </w:p>
    <w:p>
      <w:pPr>
        <w:spacing w:after="200" w:line="36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This is the Plaintiff's application, by Summons No. HC/SUM 611/2026, for an order that the Defendant produce, within 14 days: (a) its internal quality assurance and defect logs relating to Production Run 2025-B44 of servo housing units; and (b) correspondence passing between the Defendant and its sub-contractor, Fujian Precision Manufacturing Co Ltd, concerning tolerance deviations affecting that production run, for the period 1 April 2025 to 3 June 2025.</w:t>
      </w:r>
    </w:p>
    <w:p>
      <w:pPr>
        <w:spacing w:after="200" w:line="36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The Plaintiff's claim is for breach of the Supply Agreement dated 3 June 2025, on the basis that the servo units delivered by the Defendant failed to meet the contractual defect-rate specification of under 2%, with the actual failure rate found on inspection to be 22%.</w:t>
      </w:r>
    </w:p>
    <w:p>
      <w:pPr>
        <w:spacing w:after="200" w:before="300"/>
      </w:pPr>
      <w:r>
        <w:rPr>
          <w:rFonts w:ascii="Times New Roman" w:cs="Times New Roman" w:eastAsia="Times New Roman" w:hAnsi="Times New Roman"/>
          <w:b/>
          <w:bCs/>
          <w:sz w:val="22"/>
          <w:szCs w:val="22"/>
        </w:rPr>
        <w:t xml:space="preserve">B. The Legal Threshold for Specific Production Is Met on the Facts of This Case</w:t>
      </w:r>
    </w:p>
    <w:p>
      <w:pPr>
        <w:spacing w:after="200" w:line="36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Order 11 Rule 3 of the Rules of Court 2021 permits the Court to order a party to produce specifically identified documents, or documents falling within a specifically identified narrow class, where the applicant shows the documents are material to the issues in dispute and that production is necessary for the fair and expeditious disposal of the case. As developed below, each limb of that threshold is satisfied here.</w:t>
      </w:r>
    </w:p>
    <w:p>
      <w:pPr>
        <w:spacing w:after="200" w:before="300"/>
      </w:pPr>
      <w:r>
        <w:rPr>
          <w:rFonts w:ascii="Times New Roman" w:cs="Times New Roman" w:eastAsia="Times New Roman" w:hAnsi="Times New Roman"/>
          <w:b/>
          <w:bCs/>
          <w:sz w:val="22"/>
          <w:szCs w:val="22"/>
        </w:rPr>
        <w:t xml:space="preserve">C. The Documents Sought Go to the Central and Determinative Issue in the Action</w:t>
      </w:r>
    </w:p>
    <w:p>
      <w:pPr>
        <w:spacing w:after="200" w:line="36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The Defence at paragraph 12 denies that the Defendant had any knowledge of a tolerance deviation prior to shipment on 3 June 2025. Whether such knowledge existed before the goods were shipped is not a peripheral matter — it governs both the Plaintiff's entitlement to aggravated damages and the availability of the limitation of liability defence pleaded at paragraph 18 of the Defence.</w:t>
      </w:r>
    </w:p>
    <w:p>
      <w:pPr>
        <w:spacing w:after="200" w:line="36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The Plaintiff's own post-delivery inspection recorded a defect rate of 22%, more than ten times the contractual specification (Exhibit WLT-2). A defect rate of that magnitude is, on its face, difficult to reconcile with the Defendant's pleaded position that it had no prior indication of a manufacturing tolerance issue — a matter the documents sought would directly speak to.</w:t>
      </w:r>
    </w:p>
    <w:p>
      <w:pPr>
        <w:spacing w:after="200" w:before="300"/>
      </w:pPr>
      <w:r>
        <w:rPr>
          <w:rFonts w:ascii="Times New Roman" w:cs="Times New Roman" w:eastAsia="Times New Roman" w:hAnsi="Times New Roman"/>
          <w:b/>
          <w:bCs/>
          <w:sz w:val="22"/>
          <w:szCs w:val="22"/>
        </w:rPr>
        <w:t xml:space="preserve">D. The Defendant's Own Recall Notice Confirms the Documents Exist and Are Within Its Control</w:t>
      </w:r>
    </w:p>
    <w:p>
      <w:pPr>
        <w:spacing w:after="200" w:line="36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The Defendant's product recall notice dated 11 January 2026 (Exhibit WLT-4) states that the recall followed “an internal review of the affected production batch.” That statement is, in itself, an admission that QA and defect logs for the batch were generated and remain within the Defendant's possession, custody or control.</w:t>
      </w:r>
    </w:p>
    <w:p>
      <w:pPr>
        <w:spacing w:after="200" w:before="300"/>
      </w:pPr>
      <w:r>
        <w:rPr>
          <w:rFonts w:ascii="Times New Roman" w:cs="Times New Roman" w:eastAsia="Times New Roman" w:hAnsi="Times New Roman"/>
          <w:b/>
          <w:bCs/>
          <w:sz w:val="22"/>
          <w:szCs w:val="22"/>
        </w:rPr>
        <w:t xml:space="preserve">E. Production Is Necessary, and the Request Is Narrow and Proportionate</w:t>
      </w:r>
    </w:p>
    <w:p>
      <w:pPr>
        <w:spacing w:after="200" w:line="360"/>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The Plaintiff has no alternative means of establishing pre-shipment knowledge, as the relevant internal communications and QA records were at all times exclusively within the Defendant's possession. Without production, the Plaintiff would be forced to prove a central plank of its case by inference alone, notwithstanding that direct documentary evidence is known to exist.</w:t>
      </w:r>
    </w:p>
    <w:p>
      <w:pPr>
        <w:spacing w:after="200" w:line="360"/>
        <w:ind w:left="36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The request is confined to a single production run and a two-month date range, tied directly to the pleaded issues. It is not, and is not framed as, a roving inquiry into the Defendant's broader manufacturing or quality-control practices, and the burden of compliance is correspondingly modest.</w:t>
      </w:r>
    </w:p>
    <w:p>
      <w:pPr>
        <w:spacing w:after="200" w:before="300"/>
      </w:pPr>
      <w:r>
        <w:rPr>
          <w:rFonts w:ascii="Times New Roman" w:cs="Times New Roman" w:eastAsia="Times New Roman" w:hAnsi="Times New Roman"/>
          <w:b/>
          <w:bCs/>
          <w:sz w:val="22"/>
          <w:szCs w:val="22"/>
        </w:rPr>
        <w:t xml:space="preserve">F. Conclusion</w:t>
      </w:r>
    </w:p>
    <w:p>
      <w:pPr>
        <w:spacing w:after="200" w:line="360"/>
        <w:ind w:left="360" w:hanging="3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For the reasons set out above, the Plaintiff respectfully asks that Summons No. HC/SUM 611/2026 be allowed, with costs.</w:t>
      </w:r>
    </w:p>
    <w:p>
      <w:pPr>
        <w:spacing w:before="500"/>
      </w:pPr>
      <w:r>
        <w:rPr>
          <w:rFonts w:ascii="Times New Roman" w:cs="Times New Roman" w:eastAsia="Times New Roman" w:hAnsi="Times New Roman"/>
          <w:sz w:val="22"/>
          <w:szCs w:val="22"/>
        </w:rPr>
        <w:t xml:space="preserve">Dated this 2nd day of April 2026.</w:t>
      </w:r>
    </w:p>
    <w:p>
      <w:pPr>
        <w:spacing w:before="300"/>
      </w:pPr>
      <w:r>
        <w:rPr>
          <w:rFonts w:ascii="Times New Roman" w:cs="Times New Roman" w:eastAsia="Times New Roman" w:hAnsi="Times New Roman"/>
          <w:b/>
          <w:bCs/>
          <w:sz w:val="22"/>
          <w:szCs w:val="22"/>
        </w:rPr>
        <w:t xml:space="preserve">HO &amp; PARTNERS LLP</w:t>
      </w:r>
    </w:p>
    <w:p>
      <w:r>
        <w:rPr>
          <w:rFonts w:ascii="Times New Roman" w:cs="Times New Roman" w:eastAsia="Times New Roman" w:hAnsi="Times New Roman"/>
          <w:sz w:val="22"/>
          <w:szCs w:val="22"/>
        </w:rPr>
        <w:t xml:space="preserve">Solicitors for the Plaintiff</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2026-08-19T06:49:05.759Z</dcterms:created>
  <dcterms:modified xsi:type="dcterms:W3CDTF">2026-08-19T06:49:05.759Z</dcterms:modified>
</cp:coreProperties>
</file>

<file path=docProps/custom.xml><?xml version="1.0" encoding="utf-8"?>
<Properties xmlns="http://schemas.openxmlformats.org/officeDocument/2006/custom-properties" xmlns:vt="http://schemas.openxmlformats.org/officeDocument/2006/docPropsVTypes"/>
</file>