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DRAFT — CIRCULATED FOR PARTNER REVIEW 13 MAY 2026 — MARKED UP BY P. NATHAN, RETURNED 14 MAY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SALE AND PURCHASE AGREEMENT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AGREEMENT is made on [DATE TO BE INSERTED]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BETWEEN: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Bernard Tan (NRIC: [XXXX]) and Michelle Tan (NRIC: [XXXX])  ("the Vendors")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Alvin Koh and Grace Koh (NRIC: [XXXX])  ("the Purchasers")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Sale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Vendors agree to sell and the Purchasers agree to purchase the property known as 88 Orchard Grove #12-04, Singapore [POSTAL CODE] ("the Property"), free from encumbrances, at the purchase price of SGD 3,280,000.00.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Deposit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deposit of 10% (SGD 328,000.00) has been paid upon exercise of the Option to Purchase dated [DATE].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Completion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Completion shall take place on or before [DATE], being </w:t>
      </w: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12 weeks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10 weeks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from the date of the Option.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[P. Nathan, 14 May]: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Client confirmed the buyers need a shorter completion window because of their lease — use 10 weeks throughout, not 12. Check this is consistent everywhere in the draft.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Vacant Possession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[TO COMPLETE]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The Vendors shall deliver vacant possession of the Property free of tenants and occupiers on the Completion Date.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[P. Nathan, 14 May]: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There's no tenancy in place, so this is a straightforward clause — no need to leave it as a placeholder, just draft it and we'll confirm with the client before sending out.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Drafting note: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Power of Attorney clause for Michelle Tan still to be inserted once her notarised documents are received — do not send out to the other side until this is in.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2026-08-19T06:58:25.935Z</dcterms:created>
  <dcterms:modified xsi:type="dcterms:W3CDTF">2026-08-19T06:58:25.935Z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