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000000" w:sz="4" w:space="4"/>
          <w:bottom w:val="single" w:color="000000" w:sz="4" w:space="4"/>
        </w:pBdr>
        <w:spacing w:after="300" w:before="10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FIRST DRAFT — CIRCULATED FOR PARTNER REVIEW 18 JUNE 2026 — MARKED UP BY J. WEE, RETURNED 19 JUNE 2026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SHAREHOLDERS AGREEMENT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relating to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NOVAGEN BIOTECH PTE LTD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Parties: (1) Pacific Horizon Ventures Fund III L.P. ("New Investor"); (2) Existing shareholders as listed in Schedule 1 ("Existing Shareholders"); (3) Novagen Biotech Pte Ltd (the "Company").</w:t>
      </w:r>
    </w:p>
    <w:p>
      <w:pPr>
        <w:spacing w:after="100" w:before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Board Composition</w:t>
      </w:r>
      <w:r>
        <w:br/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New Investor shall be entitled to appoint one (1) director to the Board for so long as it holds not less than 10% of the issued share capital of the Company.</w:t>
      </w:r>
    </w:p>
    <w:p>
      <w:pPr>
        <w:spacing w:after="100" w:before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Reserved Matters</w:t>
      </w:r>
      <w:r>
        <w:br/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Company shall not, without the prior written consent of the New Investor's appointed director, approve any annual budget or single expenditure exceeding SGD 2,000,000.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Anti-Dilution</w:t>
      </w:r>
    </w:p>
    <w:p>
      <w:pPr>
        <w:spacing w:after="100" w:line="360"/>
        <w:jc w:val="both"/>
      </w:pPr>
      <w:r>
        <w:rPr>
          <w:rFonts w:ascii="Times New Roman" w:cs="Times New Roman" w:eastAsia="Times New Roman" w:hAnsi="Times New Roman"/>
          <w:strike/>
          <w:sz w:val="22"/>
          <w:szCs w:val="22"/>
        </w:rPr>
        <w:t xml:space="preserve">The Company will try to protect the New Investor from dilution in a down round.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In the event of a subsequent issuance of shares at a price per share lower than the Series B price, the conversion price of the New Investor's preference shares shall be adjusted on a broad-based weighted average basis, as set out in Schedule 3.</w:t>
      </w:r>
    </w:p>
    <w:p>
      <w:pPr>
        <w:pBdr>
          <w:top w:val="single" w:color="808080" w:sz="2" w:space="4"/>
        </w:pBdr>
        <w:spacing w:after="240" w:before="120"/>
        <w:ind w:left="50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Comment [J. Wee, 19 Jun]: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The first version isn't a clause, it's a description of one — pull the actual broad-based weighted average formula from the Series A precedent, adjust the denominators for the new round size, and set it out properly in Schedule 3.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Transfer Restrictions</w:t>
      </w:r>
    </w:p>
    <w:p>
      <w:pPr>
        <w:spacing w:after="150" w:line="360"/>
        <w:ind w:left="500" w:hanging="4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4.1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Tag-Along Rights — Shareholders proposing to transfer shares shall offer all other shareholders the right to participate pro rata in such transfer, save for Permitted Transfers.</w:t>
      </w:r>
    </w:p>
    <w:p>
      <w:pPr>
        <w:spacing w:after="150" w:line="360"/>
        <w:ind w:left="500" w:hanging="4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4.2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Drag-Along Rights — exercisable upon the affirmative vote of shareholders holding not less than 75% of the issued share capital.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Founder Vesting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No re-vesting shall apply to existing Founder shareholdings as a result of this financing round.</w:t>
      </w:r>
    </w:p>
    <w:p>
      <w:pPr>
        <w:pBdr>
          <w:top w:val="single" w:color="808080" w:sz="2" w:space="4"/>
        </w:pBdr>
        <w:spacing w:after="240" w:before="120"/>
        <w:ind w:left="50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Comment [J. Wee, 19 Jun]: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Confirmed with Amanda this is correct for a Series B — no re-vesting. Before we send this out, double-check there isn't a side letter with an earlier seed investor that says otherwise.</w:t>
      </w:r>
    </w:p>
    <w:sectPr>
      <w:footerReference w:type="default" r:id="rId7"/>
      <w:pgSz w:w="11907" w:h="16840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2026-08-19T06:58:55.371Z</dcterms:created>
  <dcterms:modified xsi:type="dcterms:W3CDTF">2026-08-19T06:58:55.371Z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