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SHAREHOLDERS AGREEMENT</w:t>
      </w:r>
    </w:p>
    <w:p>
      <w:pPr>
        <w:spacing w:after="120"/>
        <w:jc w:val="center"/>
      </w:pPr>
      <w:r>
        <w:rPr>
          <w:rFonts w:ascii="Times New Roman" w:cs="Times New Roman" w:eastAsia="Times New Roman" w:hAnsi="Times New Roman"/>
          <w:i/>
          <w:iCs/>
          <w:sz w:val="22"/>
          <w:szCs w:val="22"/>
        </w:rPr>
        <w:t xml:space="preserve">(Execution Version — 29 June 2026)</w:t>
      </w:r>
    </w:p>
    <w:p>
      <w:pPr>
        <w:spacing w:after="120"/>
        <w:jc w:val="center"/>
      </w:pPr>
      <w:r>
        <w:rPr>
          <w:rFonts w:ascii="Times New Roman" w:cs="Times New Roman" w:eastAsia="Times New Roman" w:hAnsi="Times New Roman"/>
          <w:i/>
          <w:iCs/>
          <w:sz w:val="22"/>
          <w:szCs w:val="22"/>
        </w:rPr>
        <w:t xml:space="preserve">relating to</w:t>
      </w:r>
    </w:p>
    <w:p>
      <w:pPr>
        <w:spacing w:after="120"/>
        <w:jc w:val="center"/>
      </w:pPr>
      <w:r>
        <w:rPr>
          <w:rFonts w:ascii="Times New Roman" w:cs="Times New Roman" w:eastAsia="Times New Roman" w:hAnsi="Times New Roman"/>
          <w:b/>
          <w:bCs/>
          <w:sz w:val="22"/>
          <w:szCs w:val="22"/>
        </w:rPr>
        <w:t xml:space="preserve">NOVAGEN BIOTECH PTE LTD</w:t>
      </w:r>
    </w:p>
    <w:p>
      <w:r>
        <w:rPr>
          <w:rFonts w:ascii="Times New Roman" w:cs="Times New Roman" w:eastAsia="Times New Roman" w:hAnsi="Times New Roman"/>
          <w:sz w:val="22"/>
          <w:szCs w:val="22"/>
        </w:rPr>
        <w:t xml:space="preserve"/>
      </w:r>
    </w:p>
    <w:p>
      <w:pPr>
        <w:spacing w:after="200" w:line="360"/>
        <w:jc w:val="both"/>
      </w:pPr>
      <w:r>
        <w:rPr>
          <w:rFonts w:ascii="Times New Roman" w:cs="Times New Roman" w:eastAsia="Times New Roman" w:hAnsi="Times New Roman"/>
          <w:sz w:val="22"/>
          <w:szCs w:val="22"/>
        </w:rPr>
        <w:t xml:space="preserve">Parties: (1) Pacific Horizon Ventures Fund III L.P. ("New Investor"); (2) Existing shareholders as listed in Schedule 1 ("Existing Shareholders"); (3) Novagen Biotech Pte Ltd (the "Company").</w:t>
      </w:r>
    </w:p>
    <w:p>
      <w:pPr>
        <w:spacing w:after="100" w:before="200" w:line="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b/>
          <w:bCs/>
          <w:sz w:val="22"/>
          <w:szCs w:val="22"/>
        </w:rPr>
        <w:t xml:space="preserve">Board Composition</w:t>
      </w:r>
      <w:r>
        <w:br/>
      </w:r>
      <w:r>
        <w:rPr>
          <w:rFonts w:ascii="Times New Roman" w:cs="Times New Roman" w:eastAsia="Times New Roman" w:hAnsi="Times New Roman"/>
          <w:sz w:val="22"/>
          <w:szCs w:val="22"/>
        </w:rPr>
        <w:t xml:space="preserve">The New Investor shall be entitled to appoint one (1) director to the Board for so long as it holds not less than 7.5% of the issued share capital of the Company.</w:t>
      </w:r>
    </w:p>
    <w:p>
      <w:pPr>
        <w:spacing w:after="100" w:before="200" w:line="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b/>
          <w:bCs/>
          <w:sz w:val="22"/>
          <w:szCs w:val="22"/>
        </w:rPr>
        <w:t xml:space="preserve">Reserved Matters</w:t>
      </w:r>
      <w:r>
        <w:br/>
      </w:r>
      <w:r>
        <w:rPr>
          <w:rFonts w:ascii="Times New Roman" w:cs="Times New Roman" w:eastAsia="Times New Roman" w:hAnsi="Times New Roman"/>
          <w:sz w:val="22"/>
          <w:szCs w:val="22"/>
        </w:rPr>
        <w:t xml:space="preserve">The Company shall not, without the prior written consent of the New Investor's appointed director, approve any annual budget or single expenditure exceeding SGD 2,000,000, nor enter into any transaction with a related party.</w:t>
      </w:r>
    </w:p>
    <w:p>
      <w:pPr>
        <w:spacing w:after="100" w:before="200" w:line="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b/>
          <w:bCs/>
          <w:sz w:val="22"/>
          <w:szCs w:val="22"/>
        </w:rPr>
        <w:t xml:space="preserve">Anti-Dilution</w:t>
      </w:r>
      <w:r>
        <w:br/>
      </w:r>
      <w:r>
        <w:rPr>
          <w:rFonts w:ascii="Times New Roman" w:cs="Times New Roman" w:eastAsia="Times New Roman" w:hAnsi="Times New Roman"/>
          <w:sz w:val="22"/>
          <w:szCs w:val="22"/>
        </w:rPr>
        <w:t xml:space="preserve">In the event of a subsequent issuance of shares at a price per share lower than the Series B price, the conversion price of the New Investor's preference shares shall be adjusted on a broad-based weighted average basis, as set out in Schedule 3.</w:t>
      </w:r>
    </w:p>
    <w:p>
      <w:pPr>
        <w:spacing w:after="100" w:before="200" w:line="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b/>
          <w:bCs/>
          <w:sz w:val="22"/>
          <w:szCs w:val="22"/>
        </w:rPr>
        <w:t xml:space="preserve">Transfer Restrictions</w:t>
      </w:r>
    </w:p>
    <w:p>
      <w:pPr>
        <w:spacing w:after="150" w:line="360"/>
        <w:ind w:left="500" w:hanging="400"/>
        <w:jc w:val="both"/>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Tag-Along Rights — Shareholders proposing to transfer shares shall offer all other shareholders the right to participate pro rata in such transfer, save for Permitted Transfers.</w:t>
      </w:r>
    </w:p>
    <w:p>
      <w:pPr>
        <w:spacing w:after="150" w:line="360"/>
        <w:ind w:left="500" w:hanging="400"/>
        <w:jc w:val="both"/>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Drag-Along Rights — exercisable upon the affirmative vote of shareholders holding not less than 75% of the issued share capital.</w:t>
      </w:r>
    </w:p>
    <w:p>
      <w:pPr>
        <w:spacing w:after="100" w:before="200" w:line="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b/>
          <w:bCs/>
          <w:sz w:val="22"/>
          <w:szCs w:val="22"/>
        </w:rPr>
        <w:t xml:space="preserve">Founder Vesting</w:t>
      </w:r>
      <w:r>
        <w:br/>
      </w:r>
      <w:r>
        <w:rPr>
          <w:rFonts w:ascii="Times New Roman" w:cs="Times New Roman" w:eastAsia="Times New Roman" w:hAnsi="Times New Roman"/>
          <w:sz w:val="22"/>
          <w:szCs w:val="22"/>
        </w:rPr>
        <w:t xml:space="preserve">No re-vesting shall apply to existing Founder shareholdings as a result of this financing round.</w:t>
      </w:r>
    </w:p>
    <w:p>
      <w:pPr>
        <w:spacing w:after="100" w:before="200" w:line="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b/>
          <w:bCs/>
          <w:sz w:val="22"/>
          <w:szCs w:val="22"/>
        </w:rPr>
        <w:t xml:space="preserve">Governing Law</w:t>
      </w:r>
      <w:r>
        <w:br/>
      </w:r>
      <w:r>
        <w:rPr>
          <w:rFonts w:ascii="Times New Roman" w:cs="Times New Roman" w:eastAsia="Times New Roman" w:hAnsi="Times New Roman"/>
          <w:sz w:val="22"/>
          <w:szCs w:val="22"/>
        </w:rPr>
        <w:t xml:space="preserve">This Agreement is governed by the laws of Singapore.</w:t>
      </w:r>
    </w:p>
    <w:p>
      <w:pPr>
        <w:spacing w:before="400"/>
      </w:pPr>
      <w:r>
        <w:rPr>
          <w:rFonts w:ascii="Times New Roman" w:cs="Times New Roman" w:eastAsia="Times New Roman" w:hAnsi="Times New Roman"/>
          <w:sz w:val="22"/>
          <w:szCs w:val="22"/>
        </w:rPr>
        <w:t xml:space="preserve">EXECUTED as an agreement.</w:t>
      </w:r>
    </w:p>
    <w:sectPr>
      <w:footerReference w:type="default" r:id="rId7"/>
      <w:pgSz w:w="11907" w:h="16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2026-08-19T06:51:35.563Z</dcterms:created>
  <dcterms:modified xsi:type="dcterms:W3CDTF">2026-08-19T06:51:35.563Z</dcterms:modified>
</cp:coreProperties>
</file>

<file path=docProps/custom.xml><?xml version="1.0" encoding="utf-8"?>
<Properties xmlns="http://schemas.openxmlformats.org/officeDocument/2006/custom-properties" xmlns:vt="http://schemas.openxmlformats.org/officeDocument/2006/docPropsVTypes"/>
</file>