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SHAREHOLDERS AGREEMENT</w:t>
      </w:r>
    </w:p>
    <w:p>
      <w:pPr>
        <w:spacing w:after="120" w:before="0"/>
        <w:jc w:val="center"/>
      </w:pPr>
      <w:r>
        <w:rPr>
          <w:rFonts w:ascii="Times New Roman" w:hAnsi="Times New Roman"/>
          <w:b w:val="0"/>
          <w:i/>
          <w:strike w:val="0"/>
          <w:sz w:val="22"/>
          <w:u w:val="none"/>
        </w:rPr>
        <w:t>(Execution Version — 19 November 2024)</w:t>
      </w:r>
    </w:p>
    <w:p>
      <w:pPr>
        <w:spacing w:after="120" w:before="0"/>
        <w:jc w:val="center"/>
      </w:pPr>
      <w:r>
        <w:rPr>
          <w:rFonts w:ascii="Times New Roman" w:hAnsi="Times New Roman"/>
          <w:b w:val="0"/>
          <w:i/>
          <w:strike w:val="0"/>
          <w:sz w:val="22"/>
          <w:u w:val="none"/>
        </w:rPr>
        <w:t>relating to</w:t>
      </w:r>
    </w:p>
    <w:p>
      <w:pPr>
        <w:spacing w:after="120" w:before="0"/>
        <w:jc w:val="center"/>
      </w:pPr>
      <w:r>
        <w:rPr>
          <w:rFonts w:ascii="Times New Roman" w:hAnsi="Times New Roman"/>
          <w:b/>
          <w:i w:val="0"/>
          <w:strike w:val="0"/>
          <w:sz w:val="26"/>
          <w:u w:val="none"/>
        </w:rPr>
        <w:t>VANTAGE FOODS HOLDINGS PTE. LTD.</w:t>
      </w:r>
    </w:p>
    <w:p>
      <w:pPr>
        <w:spacing w:after="120" w:before="0"/>
      </w:pPr>
    </w:p>
    <w:p>
      <w:pPr>
        <w:spacing w:after="120" w:before="0"/>
        <w:jc w:val="both"/>
      </w:pPr>
      <w:r>
        <w:rPr>
          <w:rFonts w:ascii="Times New Roman" w:hAnsi="Times New Roman"/>
          <w:b w:val="0"/>
          <w:i w:val="0"/>
          <w:strike w:val="0"/>
          <w:sz w:val="22"/>
          <w:u w:val="none"/>
        </w:rPr>
        <w:t>Parties: (1) Pratim Capital Partners Pte. Ltd. (Company Registration No. 201799210G) ("Pratim"); (2) Maximus Retail Group Pte. Ltd. (Company Registration No. 201133421K) ("Maximus"); and (3) Vantage Foods Holdings Pte. Ltd. (the "Company"). Pratim and Maximus are each a "Shareholder".</w:t>
      </w:r>
    </w:p>
    <w:p>
      <w:pPr>
        <w:spacing w:after="60" w:before="80"/>
      </w:pPr>
      <w:r>
        <w:rPr>
          <w:rFonts w:ascii="Times New Roman" w:hAnsi="Times New Roman"/>
          <w:b/>
          <w:i w:val="0"/>
          <w:strike w:val="0"/>
          <w:sz w:val="22"/>
          <w:u w:val="none"/>
        </w:rPr>
        <w:t xml:space="preserve">1. </w:t>
      </w:r>
      <w:r>
        <w:rPr>
          <w:rFonts w:ascii="Times New Roman" w:hAnsi="Times New Roman"/>
          <w:b/>
          <w:i w:val="0"/>
          <w:strike w:val="0"/>
          <w:sz w:val="22"/>
          <w:u w:val="none"/>
        </w:rPr>
        <w:t>Shareholding</w:t>
      </w:r>
    </w:p>
    <w:p>
      <w:pPr>
        <w:spacing w:after="160" w:before="0"/>
        <w:jc w:val="both"/>
      </w:pPr>
      <w:r>
        <w:rPr>
          <w:rFonts w:ascii="Times New Roman" w:hAnsi="Times New Roman"/>
          <w:b w:val="0"/>
          <w:i w:val="0"/>
          <w:strike w:val="0"/>
          <w:sz w:val="22"/>
          <w:u w:val="none"/>
        </w:rPr>
        <w:t>The issued share capital of the Company shall be held as to fifty per cent (50%) by Pratim and fifty per cent (50%) by Maximus.</w:t>
      </w:r>
    </w:p>
    <w:p>
      <w:pPr>
        <w:spacing w:after="60" w:before="80"/>
      </w:pPr>
      <w:r>
        <w:rPr>
          <w:rFonts w:ascii="Times New Roman" w:hAnsi="Times New Roman"/>
          <w:b/>
          <w:i w:val="0"/>
          <w:strike w:val="0"/>
          <w:sz w:val="22"/>
          <w:u w:val="none"/>
        </w:rPr>
        <w:t xml:space="preserve">2. </w:t>
      </w:r>
      <w:r>
        <w:rPr>
          <w:rFonts w:ascii="Times New Roman" w:hAnsi="Times New Roman"/>
          <w:b/>
          <w:i w:val="0"/>
          <w:strike w:val="0"/>
          <w:sz w:val="22"/>
          <w:u w:val="none"/>
        </w:rPr>
        <w:t>Board Composition</w:t>
      </w:r>
    </w:p>
    <w:p>
      <w:pPr>
        <w:spacing w:after="160" w:before="0"/>
        <w:jc w:val="both"/>
      </w:pPr>
      <w:r>
        <w:rPr>
          <w:rFonts w:ascii="Times New Roman" w:hAnsi="Times New Roman"/>
          <w:b w:val="0"/>
          <w:i w:val="0"/>
          <w:strike w:val="0"/>
          <w:sz w:val="22"/>
          <w:u w:val="none"/>
        </w:rPr>
        <w:t>The Board shall comprise four (4) directors, of whom each Shareholder may nominate two (2). The chairperson shall rotate annually between the nominees of each Shareholder and shall have a casting vote in the event of an equality of votes.</w:t>
      </w:r>
    </w:p>
    <w:p>
      <w:pPr>
        <w:spacing w:after="60" w:before="80"/>
      </w:pPr>
      <w:r>
        <w:rPr>
          <w:rFonts w:ascii="Times New Roman" w:hAnsi="Times New Roman"/>
          <w:b/>
          <w:i w:val="0"/>
          <w:strike w:val="0"/>
          <w:sz w:val="22"/>
          <w:u w:val="none"/>
        </w:rPr>
        <w:t xml:space="preserve">3. </w:t>
      </w:r>
      <w:r>
        <w:rPr>
          <w:rFonts w:ascii="Times New Roman" w:hAnsi="Times New Roman"/>
          <w:b/>
          <w:i w:val="0"/>
          <w:strike w:val="0"/>
          <w:sz w:val="22"/>
          <w:u w:val="none"/>
        </w:rPr>
        <w:t>Reserved Matters</w:t>
      </w:r>
    </w:p>
    <w:p>
      <w:pPr>
        <w:spacing w:after="160" w:before="0"/>
        <w:jc w:val="both"/>
      </w:pPr>
      <w:r>
        <w:rPr>
          <w:rFonts w:ascii="Times New Roman" w:hAnsi="Times New Roman"/>
          <w:b w:val="0"/>
          <w:i w:val="0"/>
          <w:strike w:val="0"/>
          <w:sz w:val="22"/>
          <w:u w:val="none"/>
        </w:rPr>
        <w:t>The following matters shall require the unanimous approval of the Shareholders: (a) any alteration to the memorandum and articles of association of the Company; (b) any borrowing in excess of S$1,000,000; (c) the approval of the annual budget; (d) the appointment and removal of the auditors; (e) the declaration of any dividend; (f) the issue or allotment of any shares; and (g) the winding up of the Company.</w:t>
      </w:r>
    </w:p>
    <w:p>
      <w:pPr>
        <w:spacing w:after="60" w:before="80"/>
      </w:pPr>
      <w:r>
        <w:rPr>
          <w:rFonts w:ascii="Times New Roman" w:hAnsi="Times New Roman"/>
          <w:b/>
          <w:i w:val="0"/>
          <w:strike w:val="0"/>
          <w:sz w:val="22"/>
          <w:u w:val="none"/>
        </w:rPr>
        <w:t xml:space="preserve">4. </w:t>
      </w:r>
      <w:r>
        <w:rPr>
          <w:rFonts w:ascii="Times New Roman" w:hAnsi="Times New Roman"/>
          <w:b/>
          <w:i w:val="0"/>
          <w:strike w:val="0"/>
          <w:sz w:val="22"/>
          <w:u w:val="none"/>
        </w:rPr>
        <w:t>Deadlock</w:t>
      </w:r>
    </w:p>
    <w:p>
      <w:pPr>
        <w:spacing w:after="160" w:before="0"/>
        <w:jc w:val="both"/>
      </w:pPr>
      <w:r>
        <w:rPr>
          <w:rFonts w:ascii="Times New Roman" w:hAnsi="Times New Roman"/>
          <w:b w:val="0"/>
          <w:i w:val="0"/>
          <w:strike w:val="0"/>
          <w:sz w:val="22"/>
          <w:u w:val="none"/>
        </w:rPr>
        <w:t>In the event that the Shareholders are unable to agree upon any Reserved Matter, either Shareholder may serve upon the other a notice in writing (a "Deadlock Notice") offering to purchase all of the shares of the other Shareholder at a price specified in that notice. The recipient of a Deadlock Notice shall, within thirty (30) days, either accept the offer or elect to purchase the shares of the Shareholder serving the notice at the same price. If the recipient does not respond within that period, it shall be deemed to have accepted the offer.</w:t>
      </w:r>
    </w:p>
    <w:p>
      <w:pPr>
        <w:spacing w:after="60" w:before="80"/>
      </w:pPr>
      <w:r>
        <w:rPr>
          <w:rFonts w:ascii="Times New Roman" w:hAnsi="Times New Roman"/>
          <w:b/>
          <w:i w:val="0"/>
          <w:strike w:val="0"/>
          <w:sz w:val="22"/>
          <w:u w:val="none"/>
        </w:rPr>
        <w:t xml:space="preserve">5. </w:t>
      </w:r>
      <w:r>
        <w:rPr>
          <w:rFonts w:ascii="Times New Roman" w:hAnsi="Times New Roman"/>
          <w:b/>
          <w:i w:val="0"/>
          <w:strike w:val="0"/>
          <w:sz w:val="22"/>
          <w:u w:val="none"/>
        </w:rPr>
        <w:t>Transfer of Shares</w:t>
      </w:r>
    </w:p>
    <w:p>
      <w:pPr>
        <w:spacing w:after="160" w:before="0"/>
        <w:jc w:val="both"/>
      </w:pPr>
      <w:r>
        <w:rPr>
          <w:rFonts w:ascii="Times New Roman" w:hAnsi="Times New Roman"/>
          <w:b w:val="0"/>
          <w:i w:val="0"/>
          <w:strike w:val="0"/>
          <w:sz w:val="22"/>
          <w:u w:val="none"/>
        </w:rPr>
        <w:t>No Shareholder shall transfer any of its shares to any person other than an affiliate without the prior written consent of the other Shareholder, such consent not to be unreasonably withheld. Transfers to affiliates may be effected without consent.</w:t>
      </w:r>
    </w:p>
    <w:p>
      <w:pPr>
        <w:spacing w:after="60" w:before="80"/>
      </w:pPr>
      <w:r>
        <w:rPr>
          <w:rFonts w:ascii="Times New Roman" w:hAnsi="Times New Roman"/>
          <w:b/>
          <w:i w:val="0"/>
          <w:strike w:val="0"/>
          <w:sz w:val="22"/>
          <w:u w:val="none"/>
        </w:rPr>
        <w:t xml:space="preserve">6. </w:t>
      </w:r>
      <w:r>
        <w:rPr>
          <w:rFonts w:ascii="Times New Roman" w:hAnsi="Times New Roman"/>
          <w:b/>
          <w:i w:val="0"/>
          <w:strike w:val="0"/>
          <w:sz w:val="22"/>
          <w:u w:val="none"/>
        </w:rPr>
        <w:t>Non-Competition</w:t>
      </w:r>
    </w:p>
    <w:p>
      <w:pPr>
        <w:spacing w:after="160" w:before="0"/>
        <w:jc w:val="both"/>
      </w:pPr>
      <w:r>
        <w:rPr>
          <w:rFonts w:ascii="Times New Roman" w:hAnsi="Times New Roman"/>
          <w:b w:val="0"/>
          <w:i w:val="0"/>
          <w:strike w:val="0"/>
          <w:sz w:val="22"/>
          <w:u w:val="none"/>
        </w:rPr>
        <w:t>During the term of this Agreement, neither Shareholder shall carry on any business in Singapore or elsewhere which competes with the business of the Company.</w:t>
      </w:r>
    </w:p>
    <w:p>
      <w:pPr>
        <w:spacing w:after="60" w:before="80"/>
      </w:pPr>
      <w:r>
        <w:rPr>
          <w:rFonts w:ascii="Times New Roman" w:hAnsi="Times New Roman"/>
          <w:b/>
          <w:i w:val="0"/>
          <w:strike w:val="0"/>
          <w:sz w:val="22"/>
          <w:u w:val="none"/>
        </w:rPr>
        <w:t xml:space="preserve">7. </w:t>
      </w:r>
      <w:r>
        <w:rPr>
          <w:rFonts w:ascii="Times New Roman" w:hAnsi="Times New Roman"/>
          <w:b/>
          <w:i w:val="0"/>
          <w:strike w:val="0"/>
          <w:sz w:val="22"/>
          <w:u w:val="none"/>
        </w:rPr>
        <w:t>Rights of Third Parties</w:t>
      </w:r>
    </w:p>
    <w:p>
      <w:pPr>
        <w:spacing w:after="160" w:before="0"/>
        <w:jc w:val="both"/>
      </w:pPr>
      <w:r>
        <w:rPr>
          <w:rFonts w:ascii="Times New Roman" w:hAnsi="Times New Roman"/>
          <w:b w:val="0"/>
          <w:i w:val="0"/>
          <w:strike w:val="0"/>
          <w:sz w:val="22"/>
          <w:u w:val="none"/>
        </w:rPr>
        <w:t>A person who is not a party to this Agreement shall have no right under the Contracts (Rights of Third Parties) Act (Cap. 53B) to enforce any term of this Agreement.</w:t>
      </w:r>
    </w:p>
    <w:p>
      <w:pPr>
        <w:spacing w:after="60" w:before="80"/>
      </w:pPr>
      <w:r>
        <w:rPr>
          <w:rFonts w:ascii="Times New Roman" w:hAnsi="Times New Roman"/>
          <w:b/>
          <w:i w:val="0"/>
          <w:strike w:val="0"/>
          <w:sz w:val="22"/>
          <w:u w:val="none"/>
        </w:rPr>
        <w:t xml:space="preserve">8. </w:t>
      </w:r>
      <w:r>
        <w:rPr>
          <w:rFonts w:ascii="Times New Roman" w:hAnsi="Times New Roman"/>
          <w:b/>
          <w:i w:val="0"/>
          <w:strike w:val="0"/>
          <w:sz w:val="22"/>
          <w:u w:val="none"/>
        </w:rPr>
        <w:t>Dispute Resolution</w:t>
      </w:r>
    </w:p>
    <w:p>
      <w:pPr>
        <w:spacing w:after="160" w:before="0"/>
        <w:jc w:val="both"/>
      </w:pPr>
      <w:r>
        <w:rPr>
          <w:rFonts w:ascii="Times New Roman" w:hAnsi="Times New Roman"/>
          <w:b w:val="0"/>
          <w:i w:val="0"/>
          <w:strike w:val="0"/>
          <w:sz w:val="22"/>
          <w:u w:val="none"/>
        </w:rPr>
        <w:t>Any dispute arising out of or in connection with this Agreement shall be referred to and finally resolved by arbitration in Singapore administered by the Singapore International Arbitration Centre in accordance with the Arbitration Rules of the Singapore International Arbitration Centre (6th Edition, 1 August 2016) for the time being in force. The tribunal shall consist of three (3) arbitrators.</w:t>
      </w:r>
    </w:p>
    <w:p>
      <w:pPr>
        <w:spacing w:after="60" w:before="80"/>
      </w:pPr>
      <w:r>
        <w:rPr>
          <w:rFonts w:ascii="Times New Roman" w:hAnsi="Times New Roman"/>
          <w:b/>
          <w:i w:val="0"/>
          <w:strike w:val="0"/>
          <w:sz w:val="22"/>
          <w:u w:val="none"/>
        </w:rPr>
        <w:t xml:space="preserve">9. </w:t>
      </w:r>
      <w:r>
        <w:rPr>
          <w:rFonts w:ascii="Times New Roman" w:hAnsi="Times New Roman"/>
          <w:b/>
          <w:i w:val="0"/>
          <w:strike w:val="0"/>
          <w:sz w:val="22"/>
          <w:u w:val="none"/>
        </w:rPr>
        <w:t>Governing Law</w:t>
      </w:r>
    </w:p>
    <w:p>
      <w:pPr>
        <w:spacing w:after="160" w:before="0"/>
        <w:jc w:val="both"/>
      </w:pPr>
      <w:r>
        <w:rPr>
          <w:rFonts w:ascii="Times New Roman" w:hAnsi="Times New Roman"/>
          <w:b w:val="0"/>
          <w:i w:val="0"/>
          <w:strike w:val="0"/>
          <w:sz w:val="22"/>
          <w:u w:val="none"/>
        </w:rPr>
        <w:t>This Agreement shall be governed by and construed in accordance with the laws of the Republic of Singapore, and the provisions of the Companies Act (Cap. 50) shall apply.</w:t>
      </w:r>
    </w:p>
    <w:p>
      <w:pPr>
        <w:spacing w:after="120" w:before="0"/>
      </w:pPr>
    </w:p>
    <w:p>
      <w:pPr>
        <w:spacing w:after="200" w:before="0"/>
      </w:pPr>
      <w:r>
        <w:rPr>
          <w:rFonts w:ascii="Times New Roman" w:hAnsi="Times New Roman"/>
          <w:b/>
          <w:i w:val="0"/>
          <w:strike w:val="0"/>
          <w:sz w:val="22"/>
          <w:u w:val="none"/>
        </w:rPr>
        <w:t>EXECUTED as an agreement on 19 November 2024.</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