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WEE CORPORATE LAW LLC</w:t>
      </w:r>
    </w:p>
    <w:p>
      <w:pPr>
        <w:jc w:val="center"/>
      </w:pPr>
      <w:r>
        <w:rPr>
          <w:rFonts w:ascii="Times New Roman" w:hAnsi="Times New Roman"/>
          <w:b/>
          <w:sz w:val="26"/>
        </w:rPr>
        <w:t>CONFLICTS DESK NOTE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/>
          <w:sz w:val="22"/>
        </w:rPr>
        <w:t>Matter: MAT-2024-0912 — Vantage Foods Holdings Pte Ltd — Joint Venture Shareholders Agreement</w:t>
      </w:r>
    </w:p>
    <w:p>
      <w:r>
        <w:rPr>
          <w:rFonts w:ascii="Times New Roman" w:hAnsi="Times New Roman"/>
          <w:b w:val="0"/>
          <w:sz w:val="22"/>
        </w:rPr>
        <w:t>Client: Pratim Capital Partners</w:t>
      </w:r>
    </w:p>
    <w:p>
      <w:r>
        <w:rPr>
          <w:rFonts w:ascii="Times New Roman" w:hAnsi="Times New Roman"/>
          <w:b w:val="0"/>
          <w:sz w:val="22"/>
        </w:rPr>
        <w:t>Counterparty: Trashi Digital Pte Ltd</w:t>
      </w:r>
    </w:p>
    <w:p>
      <w:r>
        <w:rPr>
          <w:rFonts w:ascii="Times New Roman" w:hAnsi="Times New Roman"/>
          <w:b w:val="0"/>
          <w:sz w:val="22"/>
        </w:rPr>
        <w:t>From: Conflicts and Risk Desk</w:t>
      </w:r>
    </w:p>
    <w:p>
      <w:r>
        <w:rPr>
          <w:rFonts w:ascii="Times New Roman" w:hAnsi="Times New Roman"/>
          <w:b w:val="0"/>
          <w:sz w:val="22"/>
        </w:rPr>
        <w:t>To: Knowledge file</w:t>
      </w:r>
    </w:p>
    <w:p>
      <w:r>
        <w:rPr>
          <w:rFonts w:ascii="Times New Roman" w:hAnsi="Times New Roman"/>
          <w:b w:val="0"/>
          <w:sz w:val="22"/>
        </w:rPr>
        <w:t>Date: 5 March 2026</w:t>
      </w:r>
    </w:p>
    <w:p>
      <w:r>
        <w:rPr>
          <w:rFonts w:ascii="Times New Roman" w:hAnsi="Times New Roman"/>
          <w:b w:val="0"/>
          <w:sz w:val="22"/>
        </w:rPr>
        <w:t>Practice area: Corporate and M&amp;A</w:t>
      </w:r>
    </w:p>
    <w:p>
      <w:r>
        <w:rPr>
          <w:rFonts w:ascii="Times New Roman" w:hAnsi="Times New Roman"/>
          <w:b w:val="0"/>
          <w:sz w:val="22"/>
        </w:rPr>
        <w:t>Jurisdiction: Singapore</w:t>
      </w:r>
    </w:p>
    <w:p>
      <w:r>
        <w:rPr>
          <w:rFonts w:ascii="Times New Roman" w:hAnsi="Times New Roman"/>
          <w:b w:val="0"/>
          <w:sz w:val="22"/>
        </w:rPr>
        <w:t>Confidentiality: Restricted</w:t>
      </w:r>
    </w:p>
    <w:p>
      <w:r>
        <w:rPr>
          <w:rFonts w:ascii="Times New Roman" w:hAnsi="Times New Roman"/>
          <w:b w:val="0"/>
          <w:sz w:val="22"/>
        </w:rPr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Following the conflict check run on the proposed Trashi Digital Pte Ltd Series A engagement (MAT-2026-0473, opened March 2026), the desk confirms a positional conflict: Pratim Capital Partners — client on this matter, the Vantage Foods Holdings Pte Ltd joint venture — is adverse to Trashi Digital Pte Ltd in a separate, unrelated dispute concerning a terminated supply arrangement between portfolio companies of the two groups. That dispute has no connection to either the Vantage Foods joint venture or the Trashi Digital financing.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This is a positional conflict only. The firm is not thereby prevented from acting on the Trashi Digital Series A, nor on the Aurora Ventures joint venture at MAT-2026-0561 in which Trashi Digital Pte Ltd is the other shareholder — but any fee earner working on either of those files should be aware that Pratim Capital Partners is a client of the firm on an unrelated, adverse matter, and should route any information-barrier question to the conflicts desk before proceeding.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No ethical wall has been applied automatically. A partner should review this flag on the Matters page and decide whether a wall or informed consent letter is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