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trike w:val="0"/>
          <w:sz w:val="26"/>
          <w:u w:val="none"/>
        </w:rPr>
        <w:t>WEE CORPORATE LAW LLC</w:t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trike w:val="0"/>
          <w:sz w:val="26"/>
          <w:u w:val="none"/>
        </w:rPr>
        <w:t>FILE NOTE</w:t>
      </w:r>
    </w:p>
    <w:p>
      <w:pPr>
        <w:spacing w:after="120" w:before="0"/>
      </w:pPr>
    </w:p>
    <w:p>
      <w:pPr>
        <w:spacing w:after="40" w:before="0"/>
      </w:pPr>
      <w:r>
        <w:rPr>
          <w:rFonts w:ascii="Times New Roman" w:hAnsi="Times New Roman"/>
          <w:b/>
          <w:i w:val="0"/>
          <w:strike w:val="0"/>
          <w:sz w:val="22"/>
          <w:u w:val="none"/>
        </w:rPr>
        <w:t>Matter: MAT-2026-0508 — 41 Kallang Way tenancy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Prepared by: K. Lim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Date: 15 July 2026</w:t>
      </w:r>
    </w:p>
    <w:p>
      <w:pPr>
        <w:spacing w:after="120" w:before="0"/>
      </w:pP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Tenancy agreement executed 14 July 2026. Stamp duty of S$1,332.00 computed on the average annual rent over the term and e-stamped via the IRAS portal on 15 July; certificate filed. Original executed counterpart held in the deed room, copy released to the Landlord.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Diary note: option to renew must be exercised by 30 April 2029. Reminder set.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