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0"/>
        <w:jc w:val="center"/>
      </w:pPr>
      <w:r>
        <w:rPr>
          <w:rFonts w:ascii="Times New Roman" w:hAnsi="Times New Roman"/>
          <w:b/>
          <w:i w:val="0"/>
          <w:strike w:val="0"/>
          <w:sz w:val="26"/>
          <w:u w:val="none"/>
        </w:rPr>
        <w:t>MUTUAL NON-DISCLOSURE AGREEMENT</w:t>
      </w:r>
    </w:p>
    <w:p>
      <w:pPr>
        <w:spacing w:after="120" w:before="0"/>
        <w:jc w:val="center"/>
      </w:pPr>
      <w:r>
        <w:rPr>
          <w:rFonts w:ascii="Times New Roman" w:hAnsi="Times New Roman"/>
          <w:b w:val="0"/>
          <w:i/>
          <w:strike w:val="0"/>
          <w:sz w:val="22"/>
          <w:u w:val="none"/>
        </w:rPr>
        <w:t>(Execution Version — 25 July 2026)</w:t>
      </w:r>
    </w:p>
    <w:p>
      <w:pPr>
        <w:spacing w:after="120" w:before="0"/>
      </w:pPr>
    </w:p>
    <w:p>
      <w:pPr>
        <w:spacing w:after="120" w:before="0"/>
        <w:jc w:val="both"/>
      </w:pPr>
      <w:r>
        <w:rPr>
          <w:rFonts w:ascii="Times New Roman" w:hAnsi="Times New Roman"/>
          <w:b w:val="0"/>
          <w:i w:val="0"/>
          <w:strike w:val="0"/>
          <w:sz w:val="22"/>
          <w:u w:val="none"/>
        </w:rPr>
        <w:t>Parties: (1) Pratim Logistics Pte. Ltd.; and (2) Halcyon Infrastructure Partners Pte. Ltd. (each a "Party" and together the "Parties").</w:t>
      </w:r>
    </w:p>
    <w:p>
      <w:pPr>
        <w:spacing w:after="60" w:before="80"/>
      </w:pPr>
      <w:r>
        <w:rPr>
          <w:rFonts w:ascii="Times New Roman" w:hAnsi="Times New Roman"/>
          <w:b/>
          <w:i w:val="0"/>
          <w:strike w:val="0"/>
          <w:sz w:val="22"/>
          <w:u w:val="none"/>
        </w:rPr>
        <w:t xml:space="preserve">1. </w:t>
      </w:r>
      <w:r>
        <w:rPr>
          <w:rFonts w:ascii="Times New Roman" w:hAnsi="Times New Roman"/>
          <w:b/>
          <w:i w:val="0"/>
          <w:strike w:val="0"/>
          <w:sz w:val="22"/>
          <w:u w:val="none"/>
        </w:rPr>
        <w:t>Purpose</w:t>
      </w:r>
    </w:p>
    <w:p>
      <w:pPr>
        <w:spacing w:after="160" w:before="0"/>
        <w:jc w:val="both"/>
      </w:pPr>
      <w:r>
        <w:rPr>
          <w:rFonts w:ascii="Times New Roman" w:hAnsi="Times New Roman"/>
          <w:b w:val="0"/>
          <w:i w:val="0"/>
          <w:strike w:val="0"/>
          <w:sz w:val="22"/>
          <w:u w:val="none"/>
        </w:rPr>
        <w:t>The Parties wish to exchange confidential information solely for the purpose of evaluating a possible transaction between them (the "Purpose").</w:t>
      </w:r>
    </w:p>
    <w:p>
      <w:pPr>
        <w:spacing w:after="60" w:before="80"/>
      </w:pPr>
      <w:r>
        <w:rPr>
          <w:rFonts w:ascii="Times New Roman" w:hAnsi="Times New Roman"/>
          <w:b/>
          <w:i w:val="0"/>
          <w:strike w:val="0"/>
          <w:sz w:val="22"/>
          <w:u w:val="none"/>
        </w:rPr>
        <w:t xml:space="preserve">2. </w:t>
      </w:r>
      <w:r>
        <w:rPr>
          <w:rFonts w:ascii="Times New Roman" w:hAnsi="Times New Roman"/>
          <w:b/>
          <w:i w:val="0"/>
          <w:strike w:val="0"/>
          <w:sz w:val="22"/>
          <w:u w:val="none"/>
        </w:rPr>
        <w:t>Confidentiality Undertaking</w:t>
      </w:r>
    </w:p>
    <w:p>
      <w:pPr>
        <w:spacing w:after="160" w:before="0"/>
        <w:jc w:val="both"/>
      </w:pPr>
      <w:r>
        <w:rPr>
          <w:rFonts w:ascii="Times New Roman" w:hAnsi="Times New Roman"/>
          <w:b w:val="0"/>
          <w:i w:val="0"/>
          <w:strike w:val="0"/>
          <w:sz w:val="22"/>
          <w:u w:val="none"/>
        </w:rPr>
        <w:t>Each Party shall keep confidential all information disclosed to it by the other Party, shall use that information solely for the Purpose, and shall not disclose it to any person other than its directors, employees and professional advisers who need to know it for the Purpose and who are bound by corresponding obligations of confidence.</w:t>
      </w:r>
    </w:p>
    <w:p>
      <w:pPr>
        <w:spacing w:after="60" w:before="80"/>
      </w:pPr>
      <w:r>
        <w:rPr>
          <w:rFonts w:ascii="Times New Roman" w:hAnsi="Times New Roman"/>
          <w:b/>
          <w:i w:val="0"/>
          <w:strike w:val="0"/>
          <w:sz w:val="22"/>
          <w:u w:val="none"/>
        </w:rPr>
        <w:t xml:space="preserve">3. </w:t>
      </w:r>
      <w:r>
        <w:rPr>
          <w:rFonts w:ascii="Times New Roman" w:hAnsi="Times New Roman"/>
          <w:b/>
          <w:i w:val="0"/>
          <w:strike w:val="0"/>
          <w:sz w:val="22"/>
          <w:u w:val="none"/>
        </w:rPr>
        <w:t>Exceptions</w:t>
      </w:r>
    </w:p>
    <w:p>
      <w:pPr>
        <w:spacing w:after="160" w:before="0"/>
        <w:jc w:val="both"/>
      </w:pPr>
      <w:r>
        <w:rPr>
          <w:rFonts w:ascii="Times New Roman" w:hAnsi="Times New Roman"/>
          <w:b w:val="0"/>
          <w:i w:val="0"/>
          <w:strike w:val="0"/>
          <w:sz w:val="22"/>
          <w:u w:val="none"/>
        </w:rPr>
        <w:t>The undertaking in clause 2 does not apply to information which is or becomes publicly available otherwise than through breach of this Agreement, was lawfully in the receiving Party's possession before disclosure, is independently developed without reference to the disclosed information, or is required to be disclosed by law or by any competent regulatory authority, provided that the disclosing Party is given such notice as is reasonably practicable.</w:t>
      </w:r>
    </w:p>
    <w:p>
      <w:pPr>
        <w:spacing w:after="60" w:before="80"/>
      </w:pPr>
      <w:r>
        <w:rPr>
          <w:rFonts w:ascii="Times New Roman" w:hAnsi="Times New Roman"/>
          <w:b/>
          <w:i w:val="0"/>
          <w:strike w:val="0"/>
          <w:sz w:val="22"/>
          <w:u w:val="none"/>
        </w:rPr>
        <w:t xml:space="preserve">4. </w:t>
      </w:r>
      <w:r>
        <w:rPr>
          <w:rFonts w:ascii="Times New Roman" w:hAnsi="Times New Roman"/>
          <w:b/>
          <w:i w:val="0"/>
          <w:strike w:val="0"/>
          <w:sz w:val="22"/>
          <w:u w:val="none"/>
        </w:rPr>
        <w:t>No Licence and No Obligation to Proceed</w:t>
      </w:r>
    </w:p>
    <w:p>
      <w:pPr>
        <w:spacing w:after="160" w:before="0"/>
        <w:jc w:val="both"/>
      </w:pPr>
      <w:r>
        <w:rPr>
          <w:rFonts w:ascii="Times New Roman" w:hAnsi="Times New Roman"/>
          <w:b w:val="0"/>
          <w:i w:val="0"/>
          <w:strike w:val="0"/>
          <w:sz w:val="22"/>
          <w:u w:val="none"/>
        </w:rPr>
        <w:t>Nothing in this Agreement grants any licence in respect of any intellectual property, or obliges either Party to proceed with any transaction.</w:t>
      </w:r>
    </w:p>
    <w:p>
      <w:pPr>
        <w:spacing w:after="60" w:before="80"/>
      </w:pPr>
      <w:r>
        <w:rPr>
          <w:rFonts w:ascii="Times New Roman" w:hAnsi="Times New Roman"/>
          <w:b/>
          <w:i w:val="0"/>
          <w:strike w:val="0"/>
          <w:sz w:val="22"/>
          <w:u w:val="none"/>
        </w:rPr>
        <w:t xml:space="preserve">5. </w:t>
      </w:r>
      <w:r>
        <w:rPr>
          <w:rFonts w:ascii="Times New Roman" w:hAnsi="Times New Roman"/>
          <w:b/>
          <w:i w:val="0"/>
          <w:strike w:val="0"/>
          <w:sz w:val="22"/>
          <w:u w:val="none"/>
        </w:rPr>
        <w:t>Term</w:t>
      </w:r>
    </w:p>
    <w:p>
      <w:pPr>
        <w:spacing w:after="160" w:before="0"/>
        <w:jc w:val="both"/>
      </w:pPr>
      <w:r>
        <w:rPr>
          <w:rFonts w:ascii="Times New Roman" w:hAnsi="Times New Roman"/>
          <w:b w:val="0"/>
          <w:i w:val="0"/>
          <w:strike w:val="0"/>
          <w:sz w:val="22"/>
          <w:u w:val="none"/>
        </w:rPr>
        <w:t>This Agreement shall continue for two (2) years from the date of execution, save that the obligations in clause 2 shall survive for a further three (3) years in respect of information disclosed during that period.</w:t>
      </w:r>
    </w:p>
    <w:p>
      <w:pPr>
        <w:spacing w:after="60" w:before="80"/>
      </w:pPr>
      <w:r>
        <w:rPr>
          <w:rFonts w:ascii="Times New Roman" w:hAnsi="Times New Roman"/>
          <w:b/>
          <w:i w:val="0"/>
          <w:strike w:val="0"/>
          <w:sz w:val="22"/>
          <w:u w:val="none"/>
        </w:rPr>
        <w:t xml:space="preserve">6. </w:t>
      </w:r>
      <w:r>
        <w:rPr>
          <w:rFonts w:ascii="Times New Roman" w:hAnsi="Times New Roman"/>
          <w:b/>
          <w:i w:val="0"/>
          <w:strike w:val="0"/>
          <w:sz w:val="22"/>
          <w:u w:val="none"/>
        </w:rPr>
        <w:t>Governing Law</w:t>
      </w:r>
    </w:p>
    <w:p>
      <w:pPr>
        <w:spacing w:after="160" w:before="0"/>
        <w:jc w:val="both"/>
      </w:pPr>
      <w:r>
        <w:rPr>
          <w:rFonts w:ascii="Times New Roman" w:hAnsi="Times New Roman"/>
          <w:b w:val="0"/>
          <w:i w:val="0"/>
          <w:strike w:val="0"/>
          <w:sz w:val="22"/>
          <w:u w:val="none"/>
        </w:rPr>
        <w:t>This Agreement is governed by and shall be construed in accordance with the laws of Singapore.</w:t>
      </w:r>
    </w:p>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