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trike w:val="0"/>
          <w:sz w:val="26"/>
          <w:u w:val="none"/>
        </w:rPr>
        <w:t>WEE CORPORATE LAW LLC</w:t>
      </w:r>
    </w:p>
    <w:p>
      <w:pPr>
        <w:spacing w:after="120" w:before="0"/>
        <w:jc w:val="center"/>
      </w:pPr>
      <w:r>
        <w:rPr>
          <w:rFonts w:ascii="Times New Roman" w:hAnsi="Times New Roman"/>
          <w:b/>
          <w:i w:val="0"/>
          <w:strike w:val="0"/>
          <w:sz w:val="26"/>
          <w:u w:val="none"/>
        </w:rPr>
        <w:t>INTERNAL MEMORANDUM — PRIVILEGED AND CONFIDENTIAL</w:t>
      </w:r>
    </w:p>
    <w:p>
      <w:pPr>
        <w:spacing w:after="200" w:before="0"/>
        <w:jc w:val="center"/>
      </w:pPr>
      <w:r>
        <w:rPr>
          <w:rFonts w:ascii="Times New Roman" w:hAnsi="Times New Roman"/>
          <w:b/>
          <w:i w:val="0"/>
          <w:strike w:val="0"/>
          <w:sz w:val="20"/>
          <w:u w:val="none"/>
        </w:rPr>
        <w:t>ACCESS RESTRICTED — SUPERVISING PARTNER AND MATTER TEAM ONLY</w:t>
      </w:r>
    </w:p>
    <w:p>
      <w:pPr>
        <w:spacing w:after="120" w:before="0"/>
      </w:pPr>
    </w:p>
    <w:p>
      <w:pPr>
        <w:spacing w:after="40" w:before="0"/>
      </w:pPr>
      <w:r>
        <w:rPr>
          <w:rFonts w:ascii="Times New Roman" w:hAnsi="Times New Roman"/>
          <w:b/>
          <w:i w:val="0"/>
          <w:strike w:val="0"/>
          <w:sz w:val="22"/>
          <w:u w:val="none"/>
        </w:rPr>
        <w:t>Matter: MAT-2026-0530 — Pratim Logistics — COO hire</w:t>
      </w:r>
    </w:p>
    <w:p>
      <w:pPr>
        <w:spacing w:after="40" w:before="0"/>
      </w:pPr>
      <w:r>
        <w:rPr>
          <w:rFonts w:ascii="Times New Roman" w:hAnsi="Times New Roman"/>
          <w:b w:val="0"/>
          <w:i w:val="0"/>
          <w:strike w:val="0"/>
          <w:sz w:val="22"/>
          <w:u w:val="none"/>
        </w:rPr>
        <w:t>From: J. Wee</w:t>
      </w:r>
    </w:p>
    <w:p>
      <w:pPr>
        <w:spacing w:after="40" w:before="0"/>
      </w:pPr>
      <w:r>
        <w:rPr>
          <w:rFonts w:ascii="Times New Roman" w:hAnsi="Times New Roman"/>
          <w:b w:val="0"/>
          <w:i w:val="0"/>
          <w:strike w:val="0"/>
          <w:sz w:val="22"/>
          <w:u w:val="none"/>
        </w:rPr>
        <w:t>To: File</w:t>
      </w:r>
    </w:p>
    <w:p>
      <w:pPr>
        <w:spacing w:after="40" w:before="0"/>
      </w:pPr>
      <w:r>
        <w:rPr>
          <w:rFonts w:ascii="Times New Roman" w:hAnsi="Times New Roman"/>
          <w:b w:val="0"/>
          <w:i w:val="0"/>
          <w:strike w:val="0"/>
          <w:sz w:val="22"/>
          <w:u w:val="none"/>
        </w:rPr>
        <w:t>Date: 24 July 2026</w:t>
      </w:r>
    </w:p>
    <w:p>
      <w:pPr>
        <w:spacing w:after="120" w:before="0"/>
      </w:pPr>
    </w:p>
    <w:p>
      <w:pPr>
        <w:spacing w:after="120" w:before="0"/>
        <w:jc w:val="both"/>
      </w:pPr>
      <w:r>
        <w:rPr>
          <w:rFonts w:ascii="Times New Roman" w:hAnsi="Times New Roman"/>
          <w:b w:val="0"/>
          <w:i w:val="0"/>
          <w:strike w:val="0"/>
          <w:sz w:val="22"/>
          <w:u w:val="none"/>
        </w:rPr>
        <w:t>Advice given orally to Mr Ong on 23 July and recorded here.</w:t>
      </w:r>
    </w:p>
    <w:p>
      <w:pPr>
        <w:spacing w:after="120" w:before="0"/>
        <w:jc w:val="both"/>
      </w:pPr>
      <w:r>
        <w:rPr>
          <w:rFonts w:ascii="Times New Roman" w:hAnsi="Times New Roman"/>
          <w:b w:val="0"/>
          <w:i w:val="0"/>
          <w:strike w:val="0"/>
          <w:sz w:val="22"/>
          <w:u w:val="none"/>
        </w:rPr>
        <w:t>The candidate is bound by a twelve-month non-compete with his current employer. On the material provided, that restraint is drafted in unqualified terms across the whole of the employer's business and is, in my view, wider than is reasonably necessary to protect any legitimate proprietary interest. It is therefore vulnerable. That is not the same as saying it is unenforceable, and the client should not proceed on the assumption that it will fall.</w:t>
      </w:r>
    </w:p>
    <w:p>
      <w:pPr>
        <w:spacing w:after="120" w:before="0"/>
        <w:jc w:val="both"/>
      </w:pPr>
      <w:r>
        <w:rPr>
          <w:rFonts w:ascii="Times New Roman" w:hAnsi="Times New Roman"/>
          <w:b w:val="0"/>
          <w:i w:val="0"/>
          <w:strike w:val="0"/>
          <w:sz w:val="22"/>
          <w:u w:val="none"/>
        </w:rPr>
        <w:t>The greater exposure is not the candidate's but the client's. If the client is shown to have induced a breach with knowledge of the restraint, it faces a claim in its own right. I have advised that the client must not ask the candidate to bring any document, customer list or pricing information with him, and must not deploy him on any account he serviced at his current employer for the first twelve months. The employment agreement has been drafted so that the initial role is expressly confined to internal operations for that period.</w:t>
      </w:r>
    </w:p>
    <w:p>
      <w:pPr>
        <w:spacing w:after="120" w:before="0"/>
        <w:jc w:val="both"/>
      </w:pPr>
      <w:r>
        <w:rPr>
          <w:rFonts w:ascii="Times New Roman" w:hAnsi="Times New Roman"/>
          <w:b w:val="0"/>
          <w:i w:val="0"/>
          <w:strike w:val="0"/>
          <w:sz w:val="22"/>
          <w:u w:val="none"/>
        </w:rPr>
        <w:t>The concurrent NDA with Halcyon relates to a possible sale of the client. The candidate should not be told of those discussions until they are further advanced.</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