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b/>
          <w:i/>
          <w:strike w:val="0"/>
          <w:sz w:val="20"/>
          <w:u w:val="none"/>
        </w:rPr>
        <w:t>REDLINED — COMMENTS FROM TRASHI DIGITAL'S COUNSEL (TAN &amp;amp; ASSOCIATES LLC), RECEIVED 22 JULY 2026</w:t>
      </w:r>
    </w:p>
    <w:p>
      <w:pPr>
        <w:spacing w:after="120" w:before="0"/>
        <w:jc w:val="center"/>
      </w:pPr>
      <w:r>
        <w:rPr>
          <w:rFonts w:ascii="Times New Roman" w:hAnsi="Times New Roman"/>
          <w:b/>
          <w:i w:val="0"/>
          <w:strike w:val="0"/>
          <w:sz w:val="26"/>
          <w:u w:val="none"/>
        </w:rPr>
        <w:t>SHAREHOLDERS AGREEMENT</w:t>
      </w:r>
    </w:p>
    <w:p>
      <w:pPr>
        <w:spacing w:after="120" w:before="0"/>
      </w:pPr>
    </w:p>
    <w:p>
      <w:pPr>
        <w:spacing w:after="40" w:before="0"/>
      </w:pPr>
      <w:r>
        <w:rPr>
          <w:rFonts w:ascii="Times New Roman" w:hAnsi="Times New Roman"/>
          <w:b/>
          <w:i w:val="0"/>
          <w:strike w:val="0"/>
          <w:sz w:val="22"/>
          <w:u w:val="none"/>
        </w:rPr>
        <w:t xml:space="preserve">Clause 4. </w:t>
      </w:r>
      <w:r>
        <w:rPr>
          <w:rFonts w:ascii="Times New Roman" w:hAnsi="Times New Roman"/>
          <w:b/>
          <w:i w:val="0"/>
          <w:strike w:val="0"/>
          <w:sz w:val="22"/>
          <w:u w:val="none"/>
        </w:rPr>
        <w:t>Reserved Matters</w:t>
      </w:r>
    </w:p>
    <w:p>
      <w:pPr>
        <w:spacing w:after="40" w:before="0"/>
        <w:jc w:val="both"/>
      </w:pPr>
      <w:r>
        <w:rPr>
          <w:rFonts w:ascii="Times New Roman" w:hAnsi="Times New Roman"/>
          <w:b w:val="0"/>
          <w:i w:val="0"/>
          <w:strike w:val="0"/>
          <w:sz w:val="22"/>
          <w:u w:val="none"/>
        </w:rPr>
        <w:t>...(c) the approval of, or any material amendment to, the annual budget and business plan</w:t>
      </w:r>
      <w:r>
        <w:rPr>
          <w:rFonts w:ascii="Times New Roman" w:hAnsi="Times New Roman"/>
          <w:b w:val="0"/>
          <w:i w:val="0"/>
          <w:strike/>
          <w:sz w:val="22"/>
          <w:u w:val="none"/>
        </w:rPr>
        <w:t>;</w:t>
      </w:r>
      <w:r>
        <w:rPr>
          <w:rFonts w:ascii="Times New Roman" w:hAnsi="Times New Roman"/>
          <w:b w:val="0"/>
          <w:i w:val="0"/>
          <w:strike w:val="0"/>
          <w:sz w:val="22"/>
          <w:u w:val="single"/>
        </w:rPr>
        <w:t xml:space="preserve"> where the aggregate expenditure contemplated exceeds S$2,000,000;</w:t>
      </w:r>
    </w:p>
    <w:p>
      <w:pPr>
        <w:spacing w:after="200" w:before="0"/>
      </w:pPr>
      <w:r>
        <w:rPr>
          <w:rFonts w:ascii="Times New Roman" w:hAnsi="Times New Roman"/>
          <w:b/>
          <w:i/>
          <w:strike w:val="0"/>
          <w:sz w:val="20"/>
          <w:u w:val="none"/>
        </w:rPr>
        <w:t xml:space="preserve">Comment [Tan &amp;amp; Associates (for Trashi), 22 July 2026]: </w:t>
      </w:r>
      <w:r>
        <w:rPr>
          <w:rFonts w:ascii="Times New Roman" w:hAnsi="Times New Roman"/>
          <w:b w:val="0"/>
          <w:i/>
          <w:strike w:val="0"/>
          <w:sz w:val="20"/>
          <w:u w:val="none"/>
        </w:rPr>
        <w:t>Requiring unanimity for every budget line is unworkable for a company with a S$50m annual purchase commitment. A materiality threshold is standard. We propose S$2m.</w:t>
      </w:r>
    </w:p>
    <w:p>
      <w:pPr>
        <w:spacing w:after="40" w:before="0"/>
      </w:pPr>
      <w:r>
        <w:rPr>
          <w:rFonts w:ascii="Times New Roman" w:hAnsi="Times New Roman"/>
          <w:b/>
          <w:i w:val="0"/>
          <w:strike w:val="0"/>
          <w:sz w:val="22"/>
          <w:u w:val="none"/>
        </w:rPr>
        <w:t xml:space="preserve">Clause 5.4. </w:t>
      </w:r>
      <w:r>
        <w:rPr>
          <w:rFonts w:ascii="Times New Roman" w:hAnsi="Times New Roman"/>
          <w:b/>
          <w:i w:val="0"/>
          <w:strike w:val="0"/>
          <w:sz w:val="22"/>
          <w:u w:val="none"/>
        </w:rPr>
        <w:t>Deadlock — Election</w:t>
      </w:r>
    </w:p>
    <w:p>
      <w:pPr>
        <w:spacing w:after="40" w:before="0"/>
        <w:jc w:val="both"/>
      </w:pPr>
      <w:r>
        <w:rPr>
          <w:rFonts w:ascii="Times New Roman" w:hAnsi="Times New Roman"/>
          <w:b w:val="0"/>
          <w:i w:val="0"/>
          <w:strike/>
          <w:sz w:val="22"/>
          <w:u w:val="none"/>
        </w:rPr>
        <w:t>If both Shareholders give notice, the notice of the Shareholder holding the larger proportion of the issued share capital shall prevail.</w:t>
      </w:r>
      <w:r>
        <w:rPr>
          <w:rFonts w:ascii="Times New Roman" w:hAnsi="Times New Roman"/>
          <w:b w:val="0"/>
          <w:i w:val="0"/>
          <w:strike w:val="0"/>
          <w:sz w:val="22"/>
          <w:u w:val="none"/>
        </w:rPr>
        <w:t xml:space="preserve"> </w:t>
      </w:r>
      <w:r>
        <w:rPr>
          <w:rFonts w:ascii="Times New Roman" w:hAnsi="Times New Roman"/>
          <w:b w:val="0"/>
          <w:i w:val="0"/>
          <w:strike w:val="0"/>
          <w:sz w:val="22"/>
          <w:u w:val="single"/>
        </w:rPr>
        <w:t>If both Shareholders give notice, the Shareholder whose notice was served first in time shall prevail, and if both are served on the same day, neither notice shall take effect and the Reserved Matter shall not be approved.</w:t>
      </w:r>
    </w:p>
    <w:p>
      <w:pPr>
        <w:spacing w:after="200" w:before="0"/>
      </w:pPr>
      <w:r>
        <w:rPr>
          <w:rFonts w:ascii="Times New Roman" w:hAnsi="Times New Roman"/>
          <w:b/>
          <w:i/>
          <w:strike w:val="0"/>
          <w:sz w:val="20"/>
          <w:u w:val="none"/>
        </w:rPr>
        <w:t xml:space="preserve">Comment [Tan &amp;amp; Associates (for Trashi), 22 July 2026]: </w:t>
      </w:r>
      <w:r>
        <w:rPr>
          <w:rFonts w:ascii="Times New Roman" w:hAnsi="Times New Roman"/>
          <w:b w:val="0"/>
          <w:i/>
          <w:strike w:val="0"/>
          <w:sz w:val="20"/>
          <w:u w:val="none"/>
        </w:rPr>
        <w:t>As drafted the 65% holder always wins the deadlock election, which converts a mutual mechanism into a one-way call option over our client's stake. Priority by service, with a same-day stalemate, is the neutral position.</w:t>
      </w:r>
    </w:p>
    <w:p>
      <w:pPr>
        <w:spacing w:after="200" w:before="0"/>
      </w:pPr>
      <w:r>
        <w:rPr>
          <w:rFonts w:ascii="Times New Roman" w:hAnsi="Times New Roman"/>
          <w:b/>
          <w:i/>
          <w:strike w:val="0"/>
          <w:sz w:val="20"/>
          <w:u w:val="none"/>
        </w:rPr>
        <w:t xml:space="preserve">Comment [R. Chandran (internal), 23 July 2026]: </w:t>
      </w:r>
      <w:r>
        <w:rPr>
          <w:rFonts w:ascii="Times New Roman" w:hAnsi="Times New Roman"/>
          <w:b w:val="0"/>
          <w:i/>
          <w:strike w:val="0"/>
          <w:sz w:val="20"/>
          <w:u w:val="none"/>
        </w:rPr>
        <w:t>This is a real point and I expect we lose it. But note the knock-on: a first-past-the-post rule incentivises pre-emptive notices the moment negotiations sour. Suggest we accept but pair it with a requirement that no notice may be served until the 30-day senior-officer process in clause 5.1 has actually been exhausted. JW to raise on the 29 July call.</w:t>
      </w:r>
    </w:p>
    <w:p>
      <w:pPr>
        <w:spacing w:after="40" w:before="0"/>
      </w:pPr>
      <w:r>
        <w:rPr>
          <w:rFonts w:ascii="Times New Roman" w:hAnsi="Times New Roman"/>
          <w:b/>
          <w:i w:val="0"/>
          <w:strike w:val="0"/>
          <w:sz w:val="22"/>
          <w:u w:val="none"/>
        </w:rPr>
        <w:t xml:space="preserve">Clause 7. </w:t>
      </w:r>
      <w:r>
        <w:rPr>
          <w:rFonts w:ascii="Times New Roman" w:hAnsi="Times New Roman"/>
          <w:b/>
          <w:i w:val="0"/>
          <w:strike w:val="0"/>
          <w:sz w:val="22"/>
          <w:u w:val="none"/>
        </w:rPr>
        <w:t>Non-Competition</w:t>
      </w:r>
    </w:p>
    <w:p>
      <w:pPr>
        <w:spacing w:after="40" w:before="0"/>
        <w:jc w:val="both"/>
      </w:pPr>
      <w:r>
        <w:rPr>
          <w:rFonts w:ascii="Times New Roman" w:hAnsi="Times New Roman"/>
          <w:b w:val="0"/>
          <w:i w:val="0"/>
          <w:strike w:val="0"/>
          <w:sz w:val="22"/>
          <w:u w:val="none"/>
        </w:rPr>
        <w:t xml:space="preserve">...for a period of </w:t>
      </w:r>
      <w:r>
        <w:rPr>
          <w:rFonts w:ascii="Times New Roman" w:hAnsi="Times New Roman"/>
          <w:b w:val="0"/>
          <w:i w:val="0"/>
          <w:strike/>
          <w:sz w:val="22"/>
          <w:u w:val="none"/>
        </w:rPr>
        <w:t>two (2) years</w:t>
      </w:r>
      <w:r>
        <w:rPr>
          <w:rFonts w:ascii="Times New Roman" w:hAnsi="Times New Roman"/>
          <w:b w:val="0"/>
          <w:i w:val="0"/>
          <w:strike w:val="0"/>
          <w:sz w:val="22"/>
          <w:u w:val="none"/>
        </w:rPr>
        <w:t xml:space="preserve"> </w:t>
      </w:r>
      <w:r>
        <w:rPr>
          <w:rFonts w:ascii="Times New Roman" w:hAnsi="Times New Roman"/>
          <w:b w:val="0"/>
          <w:i w:val="0"/>
          <w:strike w:val="0"/>
          <w:sz w:val="22"/>
          <w:u w:val="single"/>
        </w:rPr>
        <w:t>twelve (12) months</w:t>
      </w:r>
      <w:r>
        <w:rPr>
          <w:rFonts w:ascii="Times New Roman" w:hAnsi="Times New Roman"/>
          <w:b w:val="0"/>
          <w:i w:val="0"/>
          <w:strike w:val="0"/>
          <w:sz w:val="22"/>
          <w:u w:val="none"/>
        </w:rPr>
        <w:t xml:space="preserve"> after a Shareholder ceases to hold shares in the Company...</w:t>
      </w:r>
    </w:p>
    <w:p>
      <w:pPr>
        <w:spacing w:after="200" w:before="0"/>
      </w:pPr>
      <w:r>
        <w:rPr>
          <w:rFonts w:ascii="Times New Roman" w:hAnsi="Times New Roman"/>
          <w:b/>
          <w:i/>
          <w:strike w:val="0"/>
          <w:sz w:val="20"/>
          <w:u w:val="none"/>
        </w:rPr>
        <w:t xml:space="preserve">Comment [Tan &amp;amp; Associates (for Trashi), 22 July 2026]: </w:t>
      </w:r>
      <w:r>
        <w:rPr>
          <w:rFonts w:ascii="Times New Roman" w:hAnsi="Times New Roman"/>
          <w:b w:val="0"/>
          <w:i/>
          <w:strike w:val="0"/>
          <w:sz w:val="20"/>
          <w:u w:val="none"/>
        </w:rPr>
        <w:t>Two years post-exit is longer than is reasonably necessary to protect the Company's legitimate interests and risks being unenforceable as drafted.</w:t>
      </w:r>
    </w:p>
    <w:p>
      <w:pPr>
        <w:spacing w:after="200" w:before="0"/>
      </w:pPr>
      <w:r>
        <w:rPr>
          <w:rFonts w:ascii="Times New Roman" w:hAnsi="Times New Roman"/>
          <w:b/>
          <w:i/>
          <w:strike w:val="0"/>
          <w:sz w:val="20"/>
          <w:u w:val="none"/>
        </w:rPr>
        <w:t xml:space="preserve">Comment [J. Wee (internal), 24 July 2026]: </w:t>
      </w:r>
      <w:r>
        <w:rPr>
          <w:rFonts w:ascii="Times New Roman" w:hAnsi="Times New Roman"/>
          <w:b w:val="0"/>
          <w:i/>
          <w:strike w:val="0"/>
          <w:sz w:val="20"/>
          <w:u w:val="none"/>
        </w:rPr>
        <w:t>Hold at two years. The restraint is tied to a single defined merchandise range in one jurisdiction and is carved out for existing activities — it is narrow enough to stand. If they push hard, eighteen months, not twelve.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