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WEE CORPORATE LAW LLC</w:t>
      </w:r>
    </w:p>
    <w:p>
      <w:pPr>
        <w:spacing w:after="120" w:before="0"/>
        <w:jc w:val="center"/>
      </w:pPr>
      <w:r>
        <w:rPr>
          <w:rFonts w:ascii="Times New Roman" w:hAnsi="Times New Roman"/>
          <w:b/>
          <w:i w:val="0"/>
          <w:strike w:val="0"/>
          <w:sz w:val="26"/>
          <w:u w:val="none"/>
        </w:rPr>
        <w:t>ATTENDANCE NOTE</w:t>
      </w:r>
    </w:p>
    <w:p>
      <w:pPr>
        <w:spacing w:after="120" w:before="0"/>
      </w:pPr>
    </w:p>
    <w:p>
      <w:pPr>
        <w:spacing w:after="40" w:before="0"/>
      </w:pPr>
      <w:r>
        <w:rPr>
          <w:rFonts w:ascii="Times New Roman" w:hAnsi="Times New Roman"/>
          <w:b/>
          <w:i w:val="0"/>
          <w:strike w:val="0"/>
          <w:sz w:val="22"/>
          <w:u w:val="none"/>
        </w:rPr>
        <w:t>Matter: MAT-2026-0561 — Aurora Ventures JV</w:t>
      </w:r>
    </w:p>
    <w:p>
      <w:pPr>
        <w:spacing w:after="40" w:before="0"/>
      </w:pPr>
      <w:r>
        <w:rPr>
          <w:rFonts w:ascii="Times New Roman" w:hAnsi="Times New Roman"/>
          <w:b w:val="0"/>
          <w:i w:val="0"/>
          <w:strike w:val="0"/>
          <w:sz w:val="22"/>
          <w:u w:val="none"/>
        </w:rPr>
        <w:t>Attendance: Completion meeting, 12 August 2026</w:t>
      </w:r>
    </w:p>
    <w:p>
      <w:pPr>
        <w:spacing w:after="40" w:before="0"/>
      </w:pPr>
      <w:r>
        <w:rPr>
          <w:rFonts w:ascii="Times New Roman" w:hAnsi="Times New Roman"/>
          <w:b w:val="0"/>
          <w:i w:val="0"/>
          <w:strike w:val="0"/>
          <w:sz w:val="22"/>
          <w:u w:val="none"/>
        </w:rPr>
        <w:t>Present: J. Wee, R. Chandran, P. Raghavan (Maximus), counsel for Trashi</w:t>
      </w:r>
    </w:p>
    <w:p>
      <w:pPr>
        <w:spacing w:after="40" w:before="0"/>
      </w:pPr>
      <w:r>
        <w:rPr>
          <w:rFonts w:ascii="Times New Roman" w:hAnsi="Times New Roman"/>
          <w:b w:val="0"/>
          <w:i w:val="0"/>
          <w:strike w:val="0"/>
          <w:sz w:val="22"/>
          <w:u w:val="none"/>
        </w:rPr>
        <w:t>Prepared by: R. Chandran</w:t>
      </w:r>
    </w:p>
    <w:p>
      <w:pPr>
        <w:spacing w:after="120" w:before="0"/>
      </w:pPr>
    </w:p>
    <w:p>
      <w:pPr>
        <w:spacing w:after="120" w:before="0"/>
        <w:jc w:val="both"/>
      </w:pPr>
      <w:r>
        <w:rPr>
          <w:rFonts w:ascii="Times New Roman" w:hAnsi="Times New Roman"/>
          <w:b w:val="0"/>
          <w:i w:val="0"/>
          <w:strike w:val="0"/>
          <w:sz w:val="22"/>
          <w:u w:val="none"/>
        </w:rPr>
        <w:t>Completion took place at our offices. Share certificates for both Shareholders were issued and the register of members updated. ACRA lodgements for the allotment were filed the same afternoon. The Distributorship Agreement was executed separately by the Company and the licensor immediately following completion.</w:t>
      </w:r>
    </w:p>
    <w:p>
      <w:pPr>
        <w:spacing w:after="120" w:before="0"/>
        <w:jc w:val="both"/>
      </w:pPr>
      <w:r>
        <w:rPr>
          <w:rFonts w:ascii="Times New Roman" w:hAnsi="Times New Roman"/>
          <w:b w:val="0"/>
          <w:i w:val="0"/>
          <w:strike w:val="0"/>
          <w:sz w:val="22"/>
          <w:u w:val="none"/>
        </w:rPr>
        <w:t>Two administrative items outstanding: (i) the licensor's consent letter under the change-of-control provision is to be filed in the completion bible once received in original; and (ii) Maximus's subsidiary has not yet countersigned the management services agreement referred to in clause 10 — R. Chandran to chase.</w:t>
      </w:r>
    </w:p>
    <w:p>
      <w:pPr>
        <w:spacing w:after="120" w:before="0"/>
        <w:jc w:val="both"/>
      </w:pPr>
      <w:r>
        <w:rPr>
          <w:rFonts w:ascii="Times New Roman" w:hAnsi="Times New Roman"/>
          <w:b w:val="0"/>
          <w:i w:val="0"/>
          <w:strike w:val="0"/>
          <w:sz w:val="22"/>
          <w:u w:val="none"/>
        </w:rPr>
        <w:t>Separately, Ms Raghavan raised the Tuas warehouse sublease again and asked whether we could look at a franchising structure for the Malaysian market next year. Both are new matters. File-opening forms to be sent; conflicts check required for the Malaysian work as we have previously acted for a distributor in that market.</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