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WEE CORPORATE LAW LLC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trike w:val="0"/>
          <w:sz w:val="26"/>
          <w:u w:val="none"/>
        </w:rPr>
        <w:t>NEGOTIATION FALLBACK NOTE</w:t>
      </w:r>
    </w:p>
    <w:p>
      <w:pPr>
        <w:spacing w:after="120" w:before="0"/>
      </w:pPr>
    </w:p>
    <w:p>
      <w:pPr>
        <w:spacing w:after="40" w:before="0"/>
      </w:pPr>
      <w:r>
        <w:rPr>
          <w:rFonts w:ascii="Times New Roman" w:hAnsi="Times New Roman"/>
          <w:b/>
          <w:i w:val="0"/>
          <w:strike w:val="0"/>
          <w:sz w:val="22"/>
          <w:u w:val="none"/>
        </w:rPr>
        <w:t>Matter: MAT-2026-0577 — Northwind Systems standard form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From: R. Chandran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To: A. Foo (Northwind) / sales team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Date: 21 April 2026</w:t>
      </w:r>
    </w:p>
    <w:p>
      <w:pPr>
        <w:spacing w:after="120" w:before="0"/>
      </w:pP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Fallback positions for the sales team, in the order in which they should be conceded. This note is prepared for Northwind as supplier and states supplier-favourable positions throughout. It is not suitable for use on a customer-side mandate.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Liability cap. Open at three months' Charges. First fallback twelve months. Second fallback twelve months with a separate data-breach cap at the same level. Do not agree a super-cap additional to the general cap without referring back to us.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Loss of profit. The outright exclusion will be resisted. Fallback is to exclude indirect loss of profit only.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Sole remedy. Expect to lose this against any sophisticated counterparty. Fallback is service credits as the sole financial remedy, without prejudice to a right to terminate for persistent failure.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Default remedies. The customer will ask for a rectification plan, withholding and step-in. Concede the rectification plan first, it costs nothing. Withholding is acceptable if confined to the affected charges. Resist step-in and set-off to the last — those are the provisions that make a customer's threat credible.</w:t>
      </w:r>
    </w:p>
    <w:p>
      <w:pPr>
        <w:spacing w:after="120" w:before="0"/>
        <w:jc w:val="both"/>
      </w:pPr>
      <w:r>
        <w:rPr>
          <w:rFonts w:ascii="Times New Roman" w:hAnsi="Times New Roman"/>
          <w:b w:val="0"/>
          <w:i w:val="0"/>
          <w:strike w:val="0"/>
          <w:sz w:val="22"/>
          <w:u w:val="none"/>
        </w:rPr>
        <w:t>Termination for convenience. Concede only with a termination charge; anything above 25% of the unexpired term is unlikely to hold.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