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REGIONAL DISTRIBUTORSHIP AGREEMENT</w:t>
      </w:r>
    </w:p>
    <w:p>
      <w:pPr>
        <w:spacing w:after="120" w:before="0"/>
        <w:jc w:val="center"/>
      </w:pPr>
      <w:r>
        <w:rPr>
          <w:rFonts w:ascii="Times New Roman" w:hAnsi="Times New Roman"/>
          <w:b w:val="0"/>
          <w:i/>
          <w:strike w:val="0"/>
          <w:sz w:val="22"/>
          <w:u w:val="none"/>
        </w:rPr>
        <w:t>(Approved Template — 2 June 2026)</w:t>
      </w:r>
    </w:p>
    <w:p>
      <w:pPr>
        <w:spacing w:after="120" w:before="0"/>
        <w:jc w:val="center"/>
      </w:pPr>
      <w:r>
        <w:rPr>
          <w:rFonts w:ascii="Times New Roman" w:hAnsi="Times New Roman"/>
          <w:b w:val="0"/>
          <w:i/>
          <w:strike w:val="0"/>
          <w:sz w:val="22"/>
          <w:u w:val="none"/>
        </w:rPr>
        <w:t>prepared for</w:t>
      </w:r>
    </w:p>
    <w:p>
      <w:pPr>
        <w:spacing w:after="120" w:before="0"/>
        <w:jc w:val="center"/>
      </w:pPr>
      <w:r>
        <w:rPr>
          <w:rFonts w:ascii="Times New Roman" w:hAnsi="Times New Roman"/>
          <w:b/>
          <w:i w:val="0"/>
          <w:strike w:val="0"/>
          <w:sz w:val="26"/>
          <w:u w:val="none"/>
        </w:rPr>
        <w:t>KESTREL NUTRITION PTE. LTD.</w:t>
      </w:r>
    </w:p>
    <w:p>
      <w:pPr>
        <w:spacing w:after="120" w:before="0"/>
      </w:pPr>
    </w:p>
    <w:p>
      <w:pPr>
        <w:spacing w:after="200" w:before="0"/>
        <w:jc w:val="center"/>
      </w:pPr>
      <w:r>
        <w:rPr>
          <w:rFonts w:ascii="Times New Roman" w:hAnsi="Times New Roman"/>
          <w:b/>
          <w:i w:val="0"/>
          <w:strike w:val="0"/>
          <w:sz w:val="20"/>
          <w:u w:val="none"/>
        </w:rPr>
        <w:t>PRINCIPAL-SIDE TEMPLATE — DRAFTED FOR KESTREL AS SUPPLIER AND BRAND OWNER</w:t>
      </w:r>
    </w:p>
    <w:p>
      <w:pPr>
        <w:spacing w:after="120" w:before="0"/>
        <w:jc w:val="both"/>
      </w:pPr>
      <w:r>
        <w:rPr>
          <w:rFonts w:ascii="Times New Roman" w:hAnsi="Times New Roman"/>
          <w:b w:val="0"/>
          <w:i w:val="0"/>
          <w:strike w:val="0"/>
          <w:sz w:val="22"/>
          <w:u w:val="none"/>
        </w:rPr>
        <w:t>Parties: (1) Kestrel Nutrition Pte. Ltd. (the "Principal"); and (2) the distributor identified in the Appointment Schedule (the "Distributor").</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Appointment</w:t>
      </w:r>
    </w:p>
    <w:p>
      <w:pPr>
        <w:spacing w:after="160" w:before="0"/>
        <w:jc w:val="both"/>
      </w:pPr>
      <w:r>
        <w:rPr>
          <w:rFonts w:ascii="Times New Roman" w:hAnsi="Times New Roman"/>
          <w:b w:val="0"/>
          <w:i w:val="0"/>
          <w:strike w:val="0"/>
          <w:sz w:val="22"/>
          <w:u w:val="none"/>
        </w:rPr>
        <w:t>The Principal appoints the Distributor as a non-exclusive distributor of the Products in the territory identified in the Appointment Schedule. The Principal reserves the right to appoint any other distributor in the territory, to sell the Products directly to any person in the territory, and to sell the Products to any person outside the territory without restriction. The appointment confers no exclusivity of any kind and creates no expectation of renewal.</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Minimum Purchase</w:t>
      </w:r>
    </w:p>
    <w:p>
      <w:pPr>
        <w:spacing w:after="160" w:before="0"/>
        <w:jc w:val="both"/>
      </w:pPr>
      <w:r>
        <w:rPr>
          <w:rFonts w:ascii="Times New Roman" w:hAnsi="Times New Roman"/>
          <w:b w:val="0"/>
          <w:i w:val="0"/>
          <w:strike w:val="0"/>
          <w:sz w:val="22"/>
          <w:u w:val="none"/>
        </w:rPr>
        <w:t>The Distributor shall purchase the minimum quantities set out in the Appointment Schedule in each Contract Year. A failure to meet the minimum in any Contract Year is a material breach of this Agreement.</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Limitation of Liability</w:t>
      </w:r>
    </w:p>
    <w:p>
      <w:pPr>
        <w:spacing w:after="160" w:before="0"/>
        <w:jc w:val="both"/>
      </w:pPr>
      <w:r>
        <w:rPr>
          <w:rFonts w:ascii="Times New Roman" w:hAnsi="Times New Roman"/>
          <w:b w:val="0"/>
          <w:i w:val="0"/>
          <w:strike w:val="0"/>
          <w:sz w:val="22"/>
          <w:u w:val="none"/>
        </w:rPr>
        <w:t>The Principal's total aggregate liability in respect of any Product shall not exceed the price paid for that Product. The Principal shall have no liability for any loss of profit, loss of revenue, loss of goodwill, cost of recall, or cost of sourcing substitute product, whether direct or indirect. Nothing excludes liability for death or personal injury caused by negligence or for fraud.</w:t>
      </w:r>
    </w:p>
    <w:p>
      <w:pPr>
        <w:spacing w:after="60" w:before="80"/>
      </w:pPr>
      <w:r>
        <w:rPr>
          <w:rFonts w:ascii="Times New Roman" w:hAnsi="Times New Roman"/>
          <w:b/>
          <w:i w:val="0"/>
          <w:strike w:val="0"/>
          <w:sz w:val="22"/>
          <w:u w:val="none"/>
        </w:rPr>
        <w:t xml:space="preserve">4. </w:t>
      </w:r>
      <w:r>
        <w:rPr>
          <w:rFonts w:ascii="Times New Roman" w:hAnsi="Times New Roman"/>
          <w:b/>
          <w:i w:val="0"/>
          <w:strike w:val="0"/>
          <w:sz w:val="22"/>
          <w:u w:val="none"/>
        </w:rPr>
        <w:t>Indemnity</w:t>
      </w:r>
    </w:p>
    <w:p>
      <w:pPr>
        <w:spacing w:after="160" w:before="0"/>
        <w:jc w:val="both"/>
      </w:pPr>
      <w:r>
        <w:rPr>
          <w:rFonts w:ascii="Times New Roman" w:hAnsi="Times New Roman"/>
          <w:b w:val="0"/>
          <w:i w:val="0"/>
          <w:strike w:val="0"/>
          <w:sz w:val="22"/>
          <w:u w:val="none"/>
        </w:rPr>
        <w:t>The Distributor shall indemnify the Principal against all losses, damages, costs and expenses arising out of or in connection with the Distributor's marketing, sale, storage or handling of the Products, any representation made by the Distributor, any breach by the Distributor of this Agreement, and any claim brought against the Principal by any customer of the Distributor.</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Default</w:t>
      </w:r>
    </w:p>
    <w:p>
      <w:pPr>
        <w:spacing w:after="160" w:before="0"/>
        <w:jc w:val="both"/>
      </w:pPr>
      <w:r>
        <w:rPr>
          <w:rFonts w:ascii="Times New Roman" w:hAnsi="Times New Roman"/>
          <w:b w:val="0"/>
          <w:i w:val="0"/>
          <w:strike w:val="0"/>
          <w:sz w:val="22"/>
          <w:u w:val="none"/>
        </w:rPr>
        <w:t>Each of the following is a material breach entitling the Principal to terminate immediately: any failure to meet a minimum purchase quantity; any failure to pay when due; any distribution of a competing product; and any insolvency event. The Distributor shall have no right to withhold payment, to set off any sum, or to source substitute product, in any circumstances.</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Term and Termination</w:t>
      </w:r>
    </w:p>
    <w:p>
      <w:pPr>
        <w:spacing w:after="160" w:before="0"/>
        <w:jc w:val="both"/>
      </w:pPr>
      <w:r>
        <w:rPr>
          <w:rFonts w:ascii="Times New Roman" w:hAnsi="Times New Roman"/>
          <w:b w:val="0"/>
          <w:i w:val="0"/>
          <w:strike w:val="0"/>
          <w:sz w:val="22"/>
          <w:u w:val="none"/>
        </w:rPr>
        <w:t>This Agreement continues until terminated. The Principal may terminate at any time on ninety (90) days' written notice for any reason or no reason. The Distributor may terminate on twelve (12) months' written notice. On termination the Principal shall be under no obligation to repurchase any stock held by the Distributor, and the Distributor shall immediately cease all use of the Principal's trade marks.</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is governed by the laws of Singapore and the parties submit to the exclusive jurisdiction of the courts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