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00" w:before="0"/>
        <w:jc w:val="center"/>
      </w:pPr>
      <w:r>
        <w:rPr>
          <w:rFonts w:ascii="Times New Roman" w:hAnsi="Times New Roman"/>
          <w:b/>
          <w:i/>
          <w:strike w:val="0"/>
          <w:sz w:val="20"/>
          <w:u w:val="none"/>
        </w:rPr>
        <w:t>FIRST DRAFT — CIRCULATED FOR PARTNER REVIEW 30 JULY 2026</w:t>
      </w:r>
    </w:p>
    <w:p>
      <w:pPr>
        <w:spacing w:after="120" w:before="0"/>
        <w:jc w:val="center"/>
      </w:pPr>
      <w:r>
        <w:rPr>
          <w:rFonts w:ascii="Times New Roman" w:hAnsi="Times New Roman"/>
          <w:b/>
          <w:i w:val="0"/>
          <w:strike w:val="0"/>
          <w:sz w:val="26"/>
          <w:u w:val="none"/>
        </w:rPr>
        <w:t>EXCLUSIVE DISTRIBUTORSHIP AGREEMENT</w:t>
      </w:r>
    </w:p>
    <w:p>
      <w:pPr>
        <w:spacing w:after="120" w:before="0"/>
        <w:jc w:val="center"/>
      </w:pPr>
      <w:r>
        <w:rPr>
          <w:rFonts w:ascii="Times New Roman" w:hAnsi="Times New Roman"/>
          <w:b w:val="0"/>
          <w:i/>
          <w:strike w:val="0"/>
          <w:sz w:val="22"/>
          <w:u w:val="none"/>
        </w:rPr>
        <w:t>between</w:t>
      </w:r>
    </w:p>
    <w:p>
      <w:pPr>
        <w:spacing w:after="120" w:before="0"/>
        <w:jc w:val="center"/>
      </w:pPr>
      <w:r>
        <w:rPr>
          <w:rFonts w:ascii="Times New Roman" w:hAnsi="Times New Roman"/>
          <w:b/>
          <w:i w:val="0"/>
          <w:strike w:val="0"/>
          <w:sz w:val="26"/>
          <w:u w:val="none"/>
        </w:rPr>
        <w:t>HALCYON INSTRUMENTS GMBH and MERIDIAN RETAIL CONCEPTS PTE. LTD.</w:t>
      </w:r>
    </w:p>
    <w:p>
      <w:pPr>
        <w:spacing w:after="120" w:before="0"/>
      </w:pPr>
    </w:p>
    <w:p>
      <w:pPr>
        <w:spacing w:after="120" w:before="0"/>
        <w:jc w:val="both"/>
      </w:pPr>
      <w:r>
        <w:rPr>
          <w:rFonts w:ascii="Times New Roman" w:hAnsi="Times New Roman"/>
          <w:b w:val="0"/>
          <w:i w:val="0"/>
          <w:strike w:val="0"/>
          <w:sz w:val="22"/>
          <w:u w:val="none"/>
        </w:rPr>
        <w:t>Parties: (1) Halcyon Instruments GmbH, of Ludwigstrasse 14, 80539 Munich, Germany (the "Supplier"); and (2) Meridian Retail Concepts Pte. Ltd. (Company Registration No. 201510882F) (the "Distributor").</w:t>
      </w:r>
    </w:p>
    <w:p>
      <w:pPr>
        <w:spacing w:after="80" w:before="0"/>
      </w:pPr>
      <w:r>
        <w:rPr>
          <w:rFonts w:ascii="Times New Roman" w:hAnsi="Times New Roman"/>
          <w:b/>
          <w:i w:val="0"/>
          <w:strike w:val="0"/>
          <w:sz w:val="22"/>
          <w:u w:val="none"/>
        </w:rPr>
        <w:t xml:space="preserve">1. </w:t>
      </w:r>
      <w:r>
        <w:rPr>
          <w:rFonts w:ascii="Times New Roman" w:hAnsi="Times New Roman"/>
          <w:b/>
          <w:i w:val="0"/>
          <w:strike w:val="0"/>
          <w:sz w:val="22"/>
          <w:u w:val="none"/>
        </w:rPr>
        <w:t>Appointment and Exclusivity</w:t>
      </w:r>
    </w:p>
    <w:p>
      <w:pPr>
        <w:spacing w:after="40" w:before="0"/>
        <w:jc w:val="both"/>
      </w:pPr>
      <w:r>
        <w:rPr>
          <w:rFonts w:ascii="Times New Roman" w:hAnsi="Times New Roman"/>
          <w:b w:val="0"/>
          <w:i w:val="0"/>
          <w:strike/>
          <w:sz w:val="22"/>
          <w:u w:val="none"/>
        </w:rPr>
        <w:t>The Supplier appoints the Distributor as its exclusive distributor for the Products in Singapore.</w:t>
      </w:r>
    </w:p>
    <w:p>
      <w:pPr>
        <w:spacing w:after="40" w:before="0"/>
        <w:jc w:val="both"/>
      </w:pPr>
      <w:r>
        <w:rPr>
          <w:rFonts w:ascii="Times New Roman" w:hAnsi="Times New Roman"/>
          <w:b w:val="0"/>
          <w:i w:val="0"/>
          <w:strike w:val="0"/>
          <w:sz w:val="22"/>
          <w:u w:val="single"/>
        </w:rPr>
        <w:t>The Supplier appoints the Distributor as its sole and exclusive distributor for the Products in Singapore (the "Territory") for the Term. During the Term the Supplier shall not, and shall procure that no member of its group shall: (a) appoint any other distributor, agent or reseller for the Products in the Territory; (b) sell or supply the Products to any person in the Territory otherwise than through the Distributor; or (c) knowingly sell or supply the Products to any person outside the Territory where it has reason to believe those Products are intended for resale within the Territory. Where the Supplier breaches this clause, the Distributor shall be entitled, at its election, to a sum equal to the gross margin it would have earned on the affected sales, recoverable as a debt.</w:t>
      </w:r>
    </w:p>
    <w:p>
      <w:pPr>
        <w:spacing w:after="200" w:before="0"/>
      </w:pPr>
      <w:r>
        <w:rPr>
          <w:rFonts w:ascii="Times New Roman" w:hAnsi="Times New Roman"/>
          <w:b/>
          <w:i/>
          <w:strike w:val="0"/>
          <w:sz w:val="20"/>
          <w:u w:val="none"/>
        </w:rPr>
        <w:t xml:space="preserve">Comment [J. Wee, 4 Aug]: </w:t>
      </w:r>
      <w:r>
        <w:rPr>
          <w:rFonts w:ascii="Times New Roman" w:hAnsi="Times New Roman"/>
          <w:b w:val="0"/>
          <w:i/>
          <w:strike w:val="0"/>
          <w:sz w:val="20"/>
          <w:u w:val="none"/>
        </w:rPr>
        <w:t>The struck version is the word 'exclusive' and nothing else, which is worth very little. Exclusivity has to be expressed as undertakings the supplier can actually breach, and it needs a liquidated recovery — otherwise the client is left proving lost profits on sales it never saw. Limb (c) is the one suppliers forget and it is the one that matters in a parallel import market.</w:t>
      </w:r>
    </w:p>
    <w:p>
      <w:pPr>
        <w:spacing w:after="60" w:before="80"/>
      </w:pPr>
      <w:r>
        <w:rPr>
          <w:rFonts w:ascii="Times New Roman" w:hAnsi="Times New Roman"/>
          <w:b/>
          <w:i w:val="0"/>
          <w:strike w:val="0"/>
          <w:sz w:val="22"/>
          <w:u w:val="none"/>
        </w:rPr>
        <w:t xml:space="preserve">2. </w:t>
      </w:r>
      <w:r>
        <w:rPr>
          <w:rFonts w:ascii="Times New Roman" w:hAnsi="Times New Roman"/>
          <w:b/>
          <w:i w:val="0"/>
          <w:strike w:val="0"/>
          <w:sz w:val="22"/>
          <w:u w:val="none"/>
        </w:rPr>
        <w:t>Minimum Purchase and Forecasts</w:t>
      </w:r>
    </w:p>
    <w:p>
      <w:pPr>
        <w:spacing w:after="160" w:before="0"/>
        <w:jc w:val="both"/>
      </w:pPr>
      <w:r>
        <w:rPr>
          <w:rFonts w:ascii="Times New Roman" w:hAnsi="Times New Roman"/>
          <w:b w:val="0"/>
          <w:i w:val="0"/>
          <w:strike w:val="0"/>
          <w:sz w:val="22"/>
          <w:u w:val="none"/>
        </w:rPr>
        <w:t>The Distributor shall purchase not less than the minimum quantities set out in Schedule 2 in each Contract Year. A failure to meet the minimum in any Contract Year shall not of itself constitute a breach of this Agreement, but where the shortfall exceeds twenty-five per cent (25%) in two consecutive Contract Years the Supplier may convert the appointment to a non-exclusive appointment on ninety (90) days' written notice. The Distributor shall provide non-binding rolling forecasts quarterly.</w:t>
      </w:r>
    </w:p>
    <w:p>
      <w:pPr>
        <w:spacing w:after="80" w:before="0"/>
      </w:pPr>
      <w:r>
        <w:rPr>
          <w:rFonts w:ascii="Times New Roman" w:hAnsi="Times New Roman"/>
          <w:b/>
          <w:i w:val="0"/>
          <w:strike w:val="0"/>
          <w:sz w:val="22"/>
          <w:u w:val="none"/>
        </w:rPr>
        <w:t xml:space="preserve">3. </w:t>
      </w:r>
      <w:r>
        <w:rPr>
          <w:rFonts w:ascii="Times New Roman" w:hAnsi="Times New Roman"/>
          <w:b/>
          <w:i w:val="0"/>
          <w:strike w:val="0"/>
          <w:sz w:val="22"/>
          <w:u w:val="none"/>
        </w:rPr>
        <w:t>Limitation of Liability</w:t>
      </w:r>
    </w:p>
    <w:p>
      <w:pPr>
        <w:spacing w:after="120" w:before="0"/>
        <w:jc w:val="both"/>
      </w:pPr>
      <w:r>
        <w:rPr>
          <w:rFonts w:ascii="Times New Roman" w:hAnsi="Times New Roman"/>
          <w:b w:val="0"/>
          <w:i w:val="0"/>
          <w:strike w:val="0"/>
          <w:sz w:val="22"/>
          <w:u w:val="none"/>
        </w:rPr>
        <w:t>3.1</w:t>
        <w:tab/>
      </w:r>
      <w:r>
        <w:rPr>
          <w:rFonts w:ascii="Times New Roman" w:hAnsi="Times New Roman"/>
          <w:b w:val="0"/>
          <w:i w:val="0"/>
          <w:strike w:val="0"/>
          <w:sz w:val="22"/>
          <w:u w:val="none"/>
        </w:rPr>
        <w:t>Subject to clauses 3.3 and 3.4, each party's total aggregate liability arising out of or in connection with this Agreement in any Contract Year, whether in contract, tort (including negligence), breach of statutory duty or otherwise, shall not exceed the greater of (a) the aggregate price of the Products purchased by the Distributor in the preceding twelve (12) months, and (b) S$1,000,000.</w:t>
      </w:r>
    </w:p>
    <w:p>
      <w:pPr>
        <w:spacing w:after="120" w:before="0"/>
        <w:jc w:val="both"/>
      </w:pPr>
      <w:r>
        <w:rPr>
          <w:rFonts w:ascii="Times New Roman" w:hAnsi="Times New Roman"/>
          <w:b w:val="0"/>
          <w:i w:val="0"/>
          <w:strike w:val="0"/>
          <w:sz w:val="22"/>
          <w:u w:val="none"/>
        </w:rPr>
        <w:t>3.2</w:t>
        <w:tab/>
      </w:r>
      <w:r>
        <w:rPr>
          <w:rFonts w:ascii="Times New Roman" w:hAnsi="Times New Roman"/>
          <w:b w:val="0"/>
          <w:i w:val="0"/>
          <w:strike w:val="0"/>
          <w:sz w:val="22"/>
          <w:u w:val="none"/>
        </w:rPr>
        <w:t>Neither party shall be liable for indirect or consequential loss. For the avoidance of doubt, the following are recoverable as direct loss and are not excluded by this clause: the cost of recall, the cost of replacement or repair of defective Products, the cost of sourcing substitute product, and the Distributor's lost margin on sales made in breach of clause 1.</w:t>
      </w:r>
    </w:p>
    <w:p>
      <w:pPr>
        <w:spacing w:after="120" w:before="0"/>
        <w:jc w:val="both"/>
      </w:pPr>
      <w:r>
        <w:rPr>
          <w:rFonts w:ascii="Times New Roman" w:hAnsi="Times New Roman"/>
          <w:b w:val="0"/>
          <w:i w:val="0"/>
          <w:strike w:val="0"/>
          <w:sz w:val="22"/>
          <w:u w:val="none"/>
        </w:rPr>
        <w:t>3.3</w:t>
        <w:tab/>
      </w:r>
      <w:r>
        <w:rPr>
          <w:rFonts w:ascii="Times New Roman" w:hAnsi="Times New Roman"/>
          <w:b w:val="0"/>
          <w:i w:val="0"/>
          <w:strike w:val="0"/>
          <w:sz w:val="22"/>
          <w:u w:val="none"/>
        </w:rPr>
        <w:t>The cap in clause 3.1 does not apply to the Supplier's liability under the indemnities in clause 4, which is unlimited.</w:t>
      </w:r>
    </w:p>
    <w:p>
      <w:pPr>
        <w:spacing w:after="120" w:before="0"/>
        <w:jc w:val="both"/>
      </w:pPr>
      <w:r>
        <w:rPr>
          <w:rFonts w:ascii="Times New Roman" w:hAnsi="Times New Roman"/>
          <w:b w:val="0"/>
          <w:i w:val="0"/>
          <w:strike w:val="0"/>
          <w:sz w:val="22"/>
          <w:u w:val="none"/>
        </w:rPr>
        <w:t>3.4</w:t>
        <w:tab/>
      </w:r>
      <w:r>
        <w:rPr>
          <w:rFonts w:ascii="Times New Roman" w:hAnsi="Times New Roman"/>
          <w:b w:val="0"/>
          <w:i w:val="0"/>
          <w:strike w:val="0"/>
          <w:sz w:val="22"/>
          <w:u w:val="none"/>
        </w:rPr>
        <w:t>Nothing limits liability for death or personal injury caused by negligence, for fraud, or for any liability which cannot lawfully be limited.</w:t>
      </w:r>
    </w:p>
    <w:p>
      <w:pPr>
        <w:spacing w:after="200" w:before="0"/>
      </w:pPr>
      <w:r>
        <w:rPr>
          <w:rFonts w:ascii="Times New Roman" w:hAnsi="Times New Roman"/>
          <w:b/>
          <w:i/>
          <w:strike w:val="0"/>
          <w:sz w:val="20"/>
          <w:u w:val="none"/>
        </w:rPr>
        <w:t xml:space="preserve">Comment [J. Wee, 4 Aug]: </w:t>
      </w:r>
      <w:r>
        <w:rPr>
          <w:rFonts w:ascii="Times New Roman" w:hAnsi="Times New Roman"/>
          <w:b w:val="0"/>
          <w:i/>
          <w:strike w:val="0"/>
          <w:sz w:val="20"/>
          <w:u w:val="none"/>
        </w:rPr>
        <w:t>3.2 is the clause that will be argued about in five years. Suppliers routinely exclude 'loss of profit' and then say a recall cost is consequential. Listing the heads expressly as direct loss removes the argument. Do not let this be traded away for a higher cap.</w:t>
      </w:r>
    </w:p>
    <w:p>
      <w:pPr>
        <w:spacing w:after="80" w:before="0"/>
      </w:pPr>
      <w:r>
        <w:rPr>
          <w:rFonts w:ascii="Times New Roman" w:hAnsi="Times New Roman"/>
          <w:b/>
          <w:i w:val="0"/>
          <w:strike w:val="0"/>
          <w:sz w:val="22"/>
          <w:u w:val="none"/>
        </w:rPr>
        <w:t xml:space="preserve">4. </w:t>
      </w:r>
      <w:r>
        <w:rPr>
          <w:rFonts w:ascii="Times New Roman" w:hAnsi="Times New Roman"/>
          <w:b/>
          <w:i w:val="0"/>
          <w:strike w:val="0"/>
          <w:sz w:val="22"/>
          <w:u w:val="none"/>
        </w:rPr>
        <w:t>Indemnities</w:t>
      </w:r>
    </w:p>
    <w:p>
      <w:pPr>
        <w:spacing w:after="120" w:before="0"/>
        <w:jc w:val="both"/>
      </w:pPr>
      <w:r>
        <w:rPr>
          <w:rFonts w:ascii="Times New Roman" w:hAnsi="Times New Roman"/>
          <w:b w:val="0"/>
          <w:i w:val="0"/>
          <w:strike w:val="0"/>
          <w:sz w:val="22"/>
          <w:u w:val="none"/>
        </w:rPr>
        <w:t>4.1</w:t>
        <w:tab/>
      </w:r>
      <w:r>
        <w:rPr>
          <w:rFonts w:ascii="Times New Roman" w:hAnsi="Times New Roman"/>
          <w:b w:val="0"/>
          <w:i w:val="0"/>
          <w:strike w:val="0"/>
          <w:sz w:val="22"/>
          <w:u w:val="none"/>
        </w:rPr>
        <w:t>The Supplier shall indemnify the Distributor against all losses, damages, costs and expenses (including reasonable legal costs and the cost of any recall) arising out of any claim that any Product is defective, is not of satisfactory quality, or does not comply with any applicable safety, labelling or regulatory requirement in the Territory, save to the extent the claim arises from the Distributor's storage, handling or modification of the Product otherwise than in accordance with the Supplier's written instructions.</w:t>
      </w:r>
    </w:p>
    <w:p>
      <w:pPr>
        <w:spacing w:after="120" w:before="0"/>
        <w:jc w:val="both"/>
      </w:pPr>
      <w:r>
        <w:rPr>
          <w:rFonts w:ascii="Times New Roman" w:hAnsi="Times New Roman"/>
          <w:b w:val="0"/>
          <w:i w:val="0"/>
          <w:strike w:val="0"/>
          <w:sz w:val="22"/>
          <w:u w:val="none"/>
        </w:rPr>
        <w:t>4.2</w:t>
        <w:tab/>
      </w:r>
      <w:r>
        <w:rPr>
          <w:rFonts w:ascii="Times New Roman" w:hAnsi="Times New Roman"/>
          <w:b w:val="0"/>
          <w:i w:val="0"/>
          <w:strike w:val="0"/>
          <w:sz w:val="22"/>
          <w:u w:val="none"/>
        </w:rPr>
        <w:t>The Supplier shall indemnify the Distributor against all losses arising out of any claim that the Products, or the Distributor's importation, marketing or resale of them in accordance with this Agreement, infringe the intellectual property rights of any third party.</w:t>
      </w:r>
    </w:p>
    <w:p>
      <w:pPr>
        <w:spacing w:after="120" w:before="0"/>
        <w:jc w:val="both"/>
      </w:pPr>
      <w:r>
        <w:rPr>
          <w:rFonts w:ascii="Times New Roman" w:hAnsi="Times New Roman"/>
          <w:b w:val="0"/>
          <w:i w:val="0"/>
          <w:strike w:val="0"/>
          <w:sz w:val="22"/>
          <w:u w:val="none"/>
        </w:rPr>
        <w:t>4.3</w:t>
        <w:tab/>
      </w:r>
      <w:r>
        <w:rPr>
          <w:rFonts w:ascii="Times New Roman" w:hAnsi="Times New Roman"/>
          <w:b w:val="0"/>
          <w:i w:val="0"/>
          <w:strike w:val="0"/>
          <w:sz w:val="22"/>
          <w:u w:val="none"/>
        </w:rPr>
        <w:t>The Distributor shall indemnify the Supplier against all losses arising out of any representation made by the Distributor in respect of the Products which is not contained in the Supplier's own published materials.</w:t>
      </w:r>
    </w:p>
    <w:p>
      <w:pPr>
        <w:spacing w:after="200" w:before="0"/>
      </w:pPr>
      <w:r>
        <w:rPr>
          <w:rFonts w:ascii="Times New Roman" w:hAnsi="Times New Roman"/>
          <w:b/>
          <w:i/>
          <w:strike w:val="0"/>
          <w:sz w:val="20"/>
          <w:u w:val="none"/>
        </w:rPr>
        <w:t xml:space="preserve">Comment [J. Wee, 4 Aug]: </w:t>
      </w:r>
      <w:r>
        <w:rPr>
          <w:rFonts w:ascii="Times New Roman" w:hAnsi="Times New Roman"/>
          <w:b w:val="0"/>
          <w:i/>
          <w:strike w:val="0"/>
          <w:sz w:val="20"/>
          <w:u w:val="none"/>
        </w:rPr>
        <w:t>4.1 is the whole commercial point of the mandate. The client is the entity a Singapore consumer sues and the entity the regulator writes to; if it cannot pass that up the chain it is carrying a manufacturer's risk on a distributor's margin. Note the carve-out is limited to the Distributor's own mishandling — resist any attempt to widen it to 'any act of the Distributor'.</w:t>
      </w:r>
    </w:p>
    <w:p>
      <w:pPr>
        <w:spacing w:after="80" w:before="0"/>
      </w:pPr>
      <w:r>
        <w:rPr>
          <w:rFonts w:ascii="Times New Roman" w:hAnsi="Times New Roman"/>
          <w:b/>
          <w:i w:val="0"/>
          <w:strike w:val="0"/>
          <w:sz w:val="22"/>
          <w:u w:val="none"/>
        </w:rPr>
        <w:t xml:space="preserve">5. </w:t>
      </w:r>
      <w:r>
        <w:rPr>
          <w:rFonts w:ascii="Times New Roman" w:hAnsi="Times New Roman"/>
          <w:b/>
          <w:i w:val="0"/>
          <w:strike w:val="0"/>
          <w:sz w:val="22"/>
          <w:u w:val="none"/>
        </w:rPr>
        <w:t>Default</w:t>
      </w:r>
    </w:p>
    <w:p>
      <w:pPr>
        <w:spacing w:after="120" w:before="0"/>
        <w:jc w:val="both"/>
      </w:pPr>
      <w:r>
        <w:rPr>
          <w:rFonts w:ascii="Times New Roman" w:hAnsi="Times New Roman"/>
          <w:b w:val="0"/>
          <w:i w:val="0"/>
          <w:strike w:val="0"/>
          <w:sz w:val="22"/>
          <w:u w:val="none"/>
        </w:rPr>
        <w:t>5.1</w:t>
        <w:tab/>
      </w:r>
      <w:r>
        <w:rPr>
          <w:rFonts w:ascii="Times New Roman" w:hAnsi="Times New Roman"/>
          <w:b w:val="0"/>
          <w:i w:val="0"/>
          <w:strike w:val="0"/>
          <w:sz w:val="22"/>
          <w:u w:val="none"/>
        </w:rPr>
        <w:t>Each of the following constitutes an "Event of Default" in respect of a party: (a) a material breach of this Agreement which is not remediable, or which is remediable and is not remedied within thirty (30) days of written notice; (b) in the case of the Supplier, a failure to deliver conforming Products against accepted orders on three (3) or more occasions in any six (6) month period, or any single failure continuing for more than forty-five (45) days; (c) in the case of the Distributor, a failure to pay any undisputed sum within sixty (60) days of the due date; or (d) the appointment of a receiver, judicial manager or liquidator, the passing of a resolution for winding up, or entry into any composition with creditors generally.</w:t>
      </w:r>
    </w:p>
    <w:p>
      <w:pPr>
        <w:spacing w:after="120" w:before="0"/>
        <w:jc w:val="both"/>
      </w:pPr>
      <w:r>
        <w:rPr>
          <w:rFonts w:ascii="Times New Roman" w:hAnsi="Times New Roman"/>
          <w:b w:val="0"/>
          <w:i w:val="0"/>
          <w:strike w:val="0"/>
          <w:sz w:val="22"/>
          <w:u w:val="none"/>
        </w:rPr>
        <w:t>5.2</w:t>
        <w:tab/>
      </w:r>
      <w:r>
        <w:rPr>
          <w:rFonts w:ascii="Times New Roman" w:hAnsi="Times New Roman"/>
          <w:b w:val="0"/>
          <w:i w:val="0"/>
          <w:strike w:val="0"/>
          <w:sz w:val="22"/>
          <w:u w:val="none"/>
        </w:rPr>
        <w:t>On an Event of Default in respect of the Supplier, the Distributor may, without prejudice to any other right and without any obligation to terminate: (a) require a written rectification plan within ten (10) business days; (b) withhold payment of the price of the affected Products until the default is remedied; (c) for so long as the default continues, source equivalent product from any third party, and recover from the Supplier the reasonable additional cost of doing so, free of the restriction in clause 8 (Non-Competition); and (d) set off any sum due to it under this clause against any sum otherwise payable to the Supplier.</w:t>
      </w:r>
    </w:p>
    <w:p>
      <w:pPr>
        <w:spacing w:after="120" w:before="0"/>
        <w:jc w:val="both"/>
      </w:pPr>
      <w:r>
        <w:rPr>
          <w:rFonts w:ascii="Times New Roman" w:hAnsi="Times New Roman"/>
          <w:b w:val="0"/>
          <w:i w:val="0"/>
          <w:strike w:val="0"/>
          <w:sz w:val="22"/>
          <w:u w:val="none"/>
        </w:rPr>
        <w:t>5.3</w:t>
        <w:tab/>
      </w:r>
      <w:r>
        <w:rPr>
          <w:rFonts w:ascii="Times New Roman" w:hAnsi="Times New Roman"/>
          <w:b w:val="0"/>
          <w:i w:val="0"/>
          <w:strike w:val="0"/>
          <w:sz w:val="22"/>
          <w:u w:val="none"/>
        </w:rPr>
        <w:t>The exercise of any remedy under clause 5.2 shall not prejudice the right subsequently to terminate, and no delay in exercising any right under this clause shall operate as a waiver.</w:t>
      </w:r>
    </w:p>
    <w:p>
      <w:pPr>
        <w:spacing w:after="80" w:before="0"/>
      </w:pPr>
      <w:r>
        <w:rPr>
          <w:rFonts w:ascii="Times New Roman" w:hAnsi="Times New Roman"/>
          <w:b/>
          <w:i w:val="0"/>
          <w:strike w:val="0"/>
          <w:sz w:val="22"/>
          <w:u w:val="none"/>
        </w:rPr>
        <w:t xml:space="preserve">6. </w:t>
      </w:r>
      <w:r>
        <w:rPr>
          <w:rFonts w:ascii="Times New Roman" w:hAnsi="Times New Roman"/>
          <w:b/>
          <w:i w:val="0"/>
          <w:strike w:val="0"/>
          <w:sz w:val="22"/>
          <w:u w:val="none"/>
        </w:rPr>
        <w:t>Term, Termination and Buy-Back</w:t>
      </w:r>
    </w:p>
    <w:p>
      <w:pPr>
        <w:spacing w:after="120" w:before="0"/>
        <w:jc w:val="both"/>
      </w:pPr>
      <w:r>
        <w:rPr>
          <w:rFonts w:ascii="Times New Roman" w:hAnsi="Times New Roman"/>
          <w:b w:val="0"/>
          <w:i w:val="0"/>
          <w:strike w:val="0"/>
          <w:sz w:val="22"/>
          <w:u w:val="none"/>
        </w:rPr>
        <w:t>6.1</w:t>
        <w:tab/>
      </w:r>
      <w:r>
        <w:rPr>
          <w:rFonts w:ascii="Times New Roman" w:hAnsi="Times New Roman"/>
          <w:b w:val="0"/>
          <w:i w:val="0"/>
          <w:strike w:val="0"/>
          <w:sz w:val="22"/>
          <w:u w:val="none"/>
        </w:rPr>
        <w:t>This Agreement continues for an initial term of three (3) years and thereafter automatically for successive periods of twelve (12) months unless terminated in accordance with this clause.</w:t>
      </w:r>
    </w:p>
    <w:p>
      <w:pPr>
        <w:spacing w:after="120" w:before="0"/>
        <w:jc w:val="both"/>
      </w:pPr>
      <w:r>
        <w:rPr>
          <w:rFonts w:ascii="Times New Roman" w:hAnsi="Times New Roman"/>
          <w:b w:val="0"/>
          <w:i w:val="0"/>
          <w:strike w:val="0"/>
          <w:sz w:val="22"/>
          <w:u w:val="none"/>
        </w:rPr>
        <w:t>6.2</w:t>
        <w:tab/>
      </w:r>
      <w:r>
        <w:rPr>
          <w:rFonts w:ascii="Times New Roman" w:hAnsi="Times New Roman"/>
          <w:b w:val="0"/>
          <w:i w:val="0"/>
          <w:strike w:val="0"/>
          <w:sz w:val="22"/>
          <w:u w:val="none"/>
        </w:rPr>
        <w:t>Either party may terminate with immediate effect on an Event of Default in respect of the other.</w:t>
      </w:r>
    </w:p>
    <w:p>
      <w:pPr>
        <w:spacing w:after="120" w:before="0"/>
        <w:jc w:val="both"/>
      </w:pPr>
      <w:r>
        <w:rPr>
          <w:rFonts w:ascii="Times New Roman" w:hAnsi="Times New Roman"/>
          <w:b w:val="0"/>
          <w:i w:val="0"/>
          <w:strike w:val="0"/>
          <w:sz w:val="22"/>
          <w:u w:val="none"/>
        </w:rPr>
        <w:t>6.3</w:t>
        <w:tab/>
      </w:r>
      <w:r>
        <w:rPr>
          <w:rFonts w:ascii="Times New Roman" w:hAnsi="Times New Roman"/>
          <w:b w:val="0"/>
          <w:i w:val="0"/>
          <w:strike w:val="0"/>
          <w:sz w:val="22"/>
          <w:u w:val="none"/>
        </w:rPr>
        <w:t>Either party may terminate for convenience on twelve (12) months' written notice, such notice not to expire before the third anniversary of the Effective Date.</w:t>
      </w:r>
    </w:p>
    <w:p>
      <w:pPr>
        <w:spacing w:after="120" w:before="0"/>
        <w:jc w:val="both"/>
      </w:pPr>
      <w:r>
        <w:rPr>
          <w:rFonts w:ascii="Times New Roman" w:hAnsi="Times New Roman"/>
          <w:b w:val="0"/>
          <w:i w:val="0"/>
          <w:strike w:val="0"/>
          <w:sz w:val="22"/>
          <w:u w:val="none"/>
        </w:rPr>
        <w:t>6.4</w:t>
        <w:tab/>
      </w:r>
      <w:r>
        <w:rPr>
          <w:rFonts w:ascii="Times New Roman" w:hAnsi="Times New Roman"/>
          <w:b w:val="0"/>
          <w:i w:val="0"/>
          <w:strike w:val="0"/>
          <w:sz w:val="22"/>
          <w:u w:val="none"/>
        </w:rPr>
        <w:t>On expiry or termination for any reason, the Supplier shall repurchase all unsold Products then held by the Distributor which are in saleable condition and within their shelf life, at the price paid by the Distributor less any credit already given, together with the reasonable cost of freight and insurance. Where the Distributor has terminated following an Event of Default in respect of the Supplier, the repurchase price shall be the price paid without deduction. The Supplier shall pay the repurchase price within thirty (30) days of collection, and the Distributor may retain and sell the Products until it has been paid.</w:t>
      </w:r>
    </w:p>
    <w:p>
      <w:pPr>
        <w:spacing w:after="120" w:before="0"/>
        <w:jc w:val="both"/>
      </w:pPr>
      <w:r>
        <w:rPr>
          <w:rFonts w:ascii="Times New Roman" w:hAnsi="Times New Roman"/>
          <w:b w:val="0"/>
          <w:i w:val="0"/>
          <w:strike w:val="0"/>
          <w:sz w:val="22"/>
          <w:u w:val="none"/>
        </w:rPr>
        <w:t>6.5</w:t>
        <w:tab/>
      </w:r>
      <w:r>
        <w:rPr>
          <w:rFonts w:ascii="Times New Roman" w:hAnsi="Times New Roman"/>
          <w:b w:val="0"/>
          <w:i w:val="0"/>
          <w:strike w:val="0"/>
          <w:sz w:val="22"/>
          <w:u w:val="none"/>
        </w:rPr>
        <w:t>On termination the Distributor shall cease to use the Supplier's trade marks, save that it may continue to use them for the purpose of selling any Products not repurchased under clause 6.4 for a period of six (6) months.</w:t>
      </w:r>
    </w:p>
    <w:p>
      <w:pPr>
        <w:spacing w:after="60" w:before="80"/>
      </w:pPr>
      <w:r>
        <w:rPr>
          <w:rFonts w:ascii="Times New Roman" w:hAnsi="Times New Roman"/>
          <w:b/>
          <w:i w:val="0"/>
          <w:strike w:val="0"/>
          <w:sz w:val="22"/>
          <w:u w:val="none"/>
        </w:rPr>
        <w:t xml:space="preserve">7. </w:t>
      </w:r>
      <w:r>
        <w:rPr>
          <w:rFonts w:ascii="Times New Roman" w:hAnsi="Times New Roman"/>
          <w:b/>
          <w:i w:val="0"/>
          <w:strike w:val="0"/>
          <w:sz w:val="22"/>
          <w:u w:val="none"/>
        </w:rPr>
        <w:t>Trade Marks and Goodwill</w:t>
      </w:r>
    </w:p>
    <w:p>
      <w:pPr>
        <w:spacing w:after="160" w:before="0"/>
        <w:jc w:val="both"/>
      </w:pPr>
      <w:r>
        <w:rPr>
          <w:rFonts w:ascii="Times New Roman" w:hAnsi="Times New Roman"/>
          <w:b w:val="0"/>
          <w:i w:val="0"/>
          <w:strike w:val="0"/>
          <w:sz w:val="22"/>
          <w:u w:val="none"/>
        </w:rPr>
        <w:t>The Distributor shall use the Supplier's trade marks only in relation to the Products and in accordance with the Supplier's reasonable written guidelines. All goodwill in the trade marks accrues to the Supplier. The Supplier shall not register, and shall procure that no member of its group registers, any trade mark in the Territory which is confusingly similar to any mark used by the Distributor in respect of its own business.</w:t>
      </w:r>
    </w:p>
    <w:p>
      <w:pPr>
        <w:spacing w:after="60" w:before="80"/>
      </w:pPr>
      <w:r>
        <w:rPr>
          <w:rFonts w:ascii="Times New Roman" w:hAnsi="Times New Roman"/>
          <w:b/>
          <w:i w:val="0"/>
          <w:strike w:val="0"/>
          <w:sz w:val="22"/>
          <w:u w:val="none"/>
        </w:rPr>
        <w:t xml:space="preserve">8. </w:t>
      </w:r>
      <w:r>
        <w:rPr>
          <w:rFonts w:ascii="Times New Roman" w:hAnsi="Times New Roman"/>
          <w:b/>
          <w:i w:val="0"/>
          <w:strike w:val="0"/>
          <w:sz w:val="22"/>
          <w:u w:val="none"/>
        </w:rPr>
        <w:t>Non-Competition</w:t>
      </w:r>
    </w:p>
    <w:p>
      <w:pPr>
        <w:spacing w:after="160" w:before="0"/>
        <w:jc w:val="both"/>
      </w:pPr>
      <w:r>
        <w:rPr>
          <w:rFonts w:ascii="Times New Roman" w:hAnsi="Times New Roman"/>
          <w:b w:val="0"/>
          <w:i w:val="0"/>
          <w:strike w:val="0"/>
          <w:sz w:val="22"/>
          <w:u w:val="none"/>
        </w:rPr>
        <w:t>During the Term the Distributor shall not distribute in the Territory any product which directly competes with the Products, save as permitted by clause 5.2(c) and save for the products listed in Schedule 3 which the Distributor already distributes at the date of this Agreement. This clause does not apply after termination.</w:t>
      </w:r>
    </w:p>
    <w:p>
      <w:pPr>
        <w:spacing w:after="60" w:before="80"/>
      </w:pPr>
      <w:r>
        <w:rPr>
          <w:rFonts w:ascii="Times New Roman" w:hAnsi="Times New Roman"/>
          <w:b/>
          <w:i w:val="0"/>
          <w:strike w:val="0"/>
          <w:sz w:val="22"/>
          <w:u w:val="none"/>
        </w:rPr>
        <w:t xml:space="preserve">9. </w:t>
      </w:r>
      <w:r>
        <w:rPr>
          <w:rFonts w:ascii="Times New Roman" w:hAnsi="Times New Roman"/>
          <w:b/>
          <w:i w:val="0"/>
          <w:strike w:val="0"/>
          <w:sz w:val="22"/>
          <w:u w:val="none"/>
        </w:rPr>
        <w:t>Governing Law and Dispute Resolution</w:t>
      </w:r>
    </w:p>
    <w:p>
      <w:pPr>
        <w:spacing w:after="160" w:before="0"/>
        <w:jc w:val="both"/>
      </w:pPr>
      <w:r>
        <w:rPr>
          <w:rFonts w:ascii="Times New Roman" w:hAnsi="Times New Roman"/>
          <w:b w:val="0"/>
          <w:i w:val="0"/>
          <w:strike w:val="0"/>
          <w:sz w:val="22"/>
          <w:u w:val="none"/>
        </w:rPr>
        <w:t>This Agreement is governed by the laws of Singapore. Any dispute shall be referred to and finally resolved by arbitration administered by the Singapore International Arbitration Centre in accordance with its Arbitration Rules for the time being in force, seated in Singapore, in English, before one (1) arbitrator.</w:t>
      </w:r>
    </w:p>
    <w:sectPr w:rsidR="00FC693F" w:rsidRPr="0006063C" w:rsidSect="00034616">
      <w:pgSz w:w="11909" w:h="16834"/>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