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/>
          <w:b/>
          <w:i/>
          <w:strike w:val="0"/>
          <w:sz w:val="20"/>
          <w:u w:val="none"/>
        </w:rPr>
        <w:t>REDLINED — MARKUP RECEIVED FROM HALCYON INSTRUMENTS' COUNSEL, 11 AUGUST 2026</w:t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trike w:val="0"/>
          <w:sz w:val="26"/>
          <w:u w:val="none"/>
        </w:rPr>
        <w:t>EXCLUSIVE DISTRIBUTORSHIP AGREEMENT</w:t>
      </w:r>
    </w:p>
    <w:p>
      <w:pPr>
        <w:spacing w:after="120" w:before="0"/>
      </w:pPr>
    </w:p>
    <w:p>
      <w:pPr>
        <w:spacing w:after="40" w:before="0"/>
      </w:pPr>
      <w:r>
        <w:rPr>
          <w:rFonts w:ascii="Times New Roman" w:hAnsi="Times New Roman"/>
          <w:b/>
          <w:i w:val="0"/>
          <w:strike w:val="0"/>
          <w:sz w:val="22"/>
          <w:u w:val="none"/>
        </w:rPr>
        <w:t xml:space="preserve">Clause 1(c). </w:t>
      </w:r>
      <w:r>
        <w:rPr>
          <w:rFonts w:ascii="Times New Roman" w:hAnsi="Times New Roman"/>
          <w:b/>
          <w:i w:val="0"/>
          <w:strike w:val="0"/>
          <w:sz w:val="22"/>
          <w:u w:val="none"/>
        </w:rPr>
        <w:t>Exclusivity — Indirect Supply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trike/>
          <w:sz w:val="22"/>
          <w:u w:val="none"/>
        </w:rPr>
        <w:t>knowingly sell or supply the Products to any person outside the Territory where it has reason to believe those Products are intended for resale within the Territory</w:t>
      </w:r>
      <w:r>
        <w:rPr>
          <w:rFonts w:ascii="Times New Roman" w:hAnsi="Times New Roman"/>
          <w:b w:val="0"/>
          <w:i w:val="0"/>
          <w:strike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trike w:val="0"/>
          <w:sz w:val="22"/>
          <w:u w:val="single"/>
        </w:rPr>
        <w:t>knowingly sell or supply the Products to any person outside the Territory for the purpose of resale within the Territory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[Counsel for Halcyon Instruments, 11 August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Our client cannot police the onward movement of goods once title has passed. A 'reason to believe' standard is unworkable across a distribution network of this size.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[R. Chandran (internal), 12 August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Their formulation reduces the undertaking to a purpose test that is close to unprovable — the client would have to show the supplier's subjective intention. Counter with an objective standard: where the Supplier knows or ought reasonably to know. That is a real obligation and is not the policing duty they are objecting to.</w:t>
      </w:r>
    </w:p>
    <w:p>
      <w:pPr>
        <w:spacing w:after="40" w:before="0"/>
      </w:pPr>
      <w:r>
        <w:rPr>
          <w:rFonts w:ascii="Times New Roman" w:hAnsi="Times New Roman"/>
          <w:b/>
          <w:i w:val="0"/>
          <w:strike w:val="0"/>
          <w:sz w:val="22"/>
          <w:u w:val="none"/>
        </w:rPr>
        <w:t xml:space="preserve">Clause 4.1. </w:t>
      </w:r>
      <w:r>
        <w:rPr>
          <w:rFonts w:ascii="Times New Roman" w:hAnsi="Times New Roman"/>
          <w:b/>
          <w:i w:val="0"/>
          <w:strike w:val="0"/>
          <w:sz w:val="22"/>
          <w:u w:val="none"/>
        </w:rPr>
        <w:t>Product Liability Indemnity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trike/>
          <w:sz w:val="22"/>
          <w:u w:val="none"/>
        </w:rPr>
        <w:t>save to the extent the claim arises from the Distributor's storage, handling or modification of the Product otherwise than in accordance with the Supplier's written instructions</w:t>
      </w:r>
      <w:r>
        <w:rPr>
          <w:rFonts w:ascii="Times New Roman" w:hAnsi="Times New Roman"/>
          <w:b w:val="0"/>
          <w:i w:val="0"/>
          <w:strike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trike w:val="0"/>
          <w:sz w:val="22"/>
          <w:u w:val="single"/>
        </w:rPr>
        <w:t>save to the extent the claim arises from any act or omission of the Distributor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[Counsel for Halcyon Instruments, 11 August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The carve-out should cover the Distributor's conduct generally, not merely storage and handling.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[J. Wee (internal), 12 August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Refuse outright. 'Any act or omission of the Distributor' swallows the indemnity whole — selling the product is an act of the Distributor. This is precisely the drafting I warned about on 4 August. Revert to the original and do not offer a middle position on the first pass.</w:t>
      </w:r>
    </w:p>
    <w:p>
      <w:pPr>
        <w:spacing w:after="40" w:before="0"/>
      </w:pPr>
      <w:r>
        <w:rPr>
          <w:rFonts w:ascii="Times New Roman" w:hAnsi="Times New Roman"/>
          <w:b/>
          <w:i w:val="0"/>
          <w:strike w:val="0"/>
          <w:sz w:val="22"/>
          <w:u w:val="none"/>
        </w:rPr>
        <w:t xml:space="preserve">Clause 6.4. </w:t>
      </w:r>
      <w:r>
        <w:rPr>
          <w:rFonts w:ascii="Times New Roman" w:hAnsi="Times New Roman"/>
          <w:b/>
          <w:i w:val="0"/>
          <w:strike w:val="0"/>
          <w:sz w:val="22"/>
          <w:u w:val="none"/>
        </w:rPr>
        <w:t>Stock Buy-Back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trike/>
          <w:sz w:val="22"/>
          <w:u w:val="none"/>
        </w:rPr>
        <w:t>at the price paid by the Distributor less any credit already given</w:t>
      </w:r>
      <w:r>
        <w:rPr>
          <w:rFonts w:ascii="Times New Roman" w:hAnsi="Times New Roman"/>
          <w:b w:val="0"/>
          <w:i w:val="0"/>
          <w:strike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trike w:val="0"/>
          <w:sz w:val="22"/>
          <w:u w:val="single"/>
        </w:rPr>
        <w:t>at the lower of the price paid by the Distributor and the Supplier's then-current list price to distributors, less thirty per cent (30%) handling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[Counsel for Halcyon Instruments, 11 August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A full-price repurchase transfers the whole of the inventory risk to our client.</w:t>
      </w:r>
    </w:p>
    <w:p>
      <w:pPr>
        <w:spacing w:after="200" w:before="0"/>
      </w:pPr>
      <w:r>
        <w:rPr>
          <w:rFonts w:ascii="Times New Roman" w:hAnsi="Times New Roman"/>
          <w:b/>
          <w:i/>
          <w:strike w:val="0"/>
          <w:sz w:val="20"/>
          <w:u w:val="none"/>
        </w:rPr>
        <w:t xml:space="preserve">Comment [J. Wee (internal), 12 August 2026]: </w:t>
      </w:r>
      <w:r>
        <w:rPr>
          <w:rFonts w:ascii="Times New Roman" w:hAnsi="Times New Roman"/>
          <w:b w:val="0"/>
          <w:i/>
          <w:strike w:val="0"/>
          <w:sz w:val="20"/>
          <w:u w:val="none"/>
        </w:rPr>
        <w:t>A 30% haircut on six months of inventory is a meaningful sum and the client should understand it before conceding. Counter at 10%, and hold the no-deduction position where we terminate for their default — that asymmetry is principled and they will find it hard to argue against.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