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EXCLUSIVE DISTRIBUTORSHIP AGREEMENT</w:t>
      </w:r>
    </w:p>
    <w:p>
      <w:pPr>
        <w:spacing w:after="120" w:before="0"/>
        <w:jc w:val="center"/>
      </w:pPr>
      <w:r>
        <w:rPr>
          <w:rFonts w:ascii="Times New Roman" w:hAnsi="Times New Roman"/>
          <w:b w:val="0"/>
          <w:i/>
          <w:strike w:val="0"/>
          <w:sz w:val="22"/>
          <w:u w:val="none"/>
        </w:rPr>
        <w:t>(Execution Version — 18 August 2026)</w:t>
      </w:r>
    </w:p>
    <w:p>
      <w:pPr>
        <w:spacing w:after="120" w:before="0"/>
        <w:jc w:val="center"/>
      </w:pPr>
      <w:r>
        <w:rPr>
          <w:rFonts w:ascii="Times New Roman" w:hAnsi="Times New Roman"/>
          <w:b w:val="0"/>
          <w:i/>
          <w:strike w:val="0"/>
          <w:sz w:val="22"/>
          <w:u w:val="none"/>
        </w:rPr>
        <w:t>between</w:t>
      </w:r>
    </w:p>
    <w:p>
      <w:pPr>
        <w:spacing w:after="120" w:before="0"/>
        <w:jc w:val="center"/>
      </w:pPr>
      <w:r>
        <w:rPr>
          <w:rFonts w:ascii="Times New Roman" w:hAnsi="Times New Roman"/>
          <w:b/>
          <w:i w:val="0"/>
          <w:strike w:val="0"/>
          <w:sz w:val="26"/>
          <w:u w:val="none"/>
        </w:rPr>
        <w:t>HALCYON INSTRUMENTS GMBH and MERIDIAN RETAIL CONCEPTS PTE. LTD.</w:t>
      </w:r>
    </w:p>
    <w:p>
      <w:pPr>
        <w:spacing w:after="120" w:before="0"/>
      </w:pPr>
    </w:p>
    <w:p>
      <w:pPr>
        <w:spacing w:after="200" w:before="0"/>
        <w:jc w:val="center"/>
      </w:pPr>
      <w:r>
        <w:rPr>
          <w:rFonts w:ascii="Times New Roman" w:hAnsi="Times New Roman"/>
          <w:b/>
          <w:i w:val="0"/>
          <w:strike w:val="0"/>
          <w:sz w:val="20"/>
          <w:u w:val="none"/>
        </w:rPr>
        <w:t>APPROVED BY SUPERVISING PARTNER (J. WEE) — FIRM MODEL PRECEDENT (DISTRIBUTOR SIDE)</w:t>
      </w:r>
    </w:p>
    <w:p>
      <w:pPr>
        <w:spacing w:after="120" w:before="0"/>
        <w:jc w:val="both"/>
      </w:pPr>
      <w:r>
        <w:rPr>
          <w:rFonts w:ascii="Times New Roman" w:hAnsi="Times New Roman"/>
          <w:b w:val="0"/>
          <w:i w:val="0"/>
          <w:strike w:val="0"/>
          <w:sz w:val="22"/>
          <w:u w:val="none"/>
        </w:rPr>
        <w:t>Parties: (1) Halcyon Instruments GmbH (the "Supplier"); and (2) Meridian Retail Concepts Pte. Ltd. (Company Registration No. 201510882F) (the "Distributor").</w:t>
      </w:r>
    </w:p>
    <w:p>
      <w:pPr>
        <w:spacing w:after="80" w:before="0"/>
      </w:pPr>
      <w:r>
        <w:rPr>
          <w:rFonts w:ascii="Times New Roman" w:hAnsi="Times New Roman"/>
          <w:b/>
          <w:i w:val="0"/>
          <w:strike w:val="0"/>
          <w:sz w:val="22"/>
          <w:u w:val="none"/>
        </w:rPr>
        <w:t xml:space="preserve">1. </w:t>
      </w:r>
      <w:r>
        <w:rPr>
          <w:rFonts w:ascii="Times New Roman" w:hAnsi="Times New Roman"/>
          <w:b/>
          <w:i w:val="0"/>
          <w:strike w:val="0"/>
          <w:sz w:val="22"/>
          <w:u w:val="none"/>
        </w:rPr>
        <w:t>Appointment and Exclusivity</w:t>
      </w:r>
    </w:p>
    <w:p>
      <w:pPr>
        <w:spacing w:after="120" w:before="0"/>
        <w:jc w:val="both"/>
      </w:pPr>
      <w:r>
        <w:rPr>
          <w:rFonts w:ascii="Times New Roman" w:hAnsi="Times New Roman"/>
          <w:b w:val="0"/>
          <w:i w:val="0"/>
          <w:strike w:val="0"/>
          <w:sz w:val="22"/>
          <w:u w:val="none"/>
        </w:rPr>
        <w:t>1.1</w:t>
        <w:tab/>
      </w:r>
      <w:r>
        <w:rPr>
          <w:rFonts w:ascii="Times New Roman" w:hAnsi="Times New Roman"/>
          <w:b w:val="0"/>
          <w:i w:val="0"/>
          <w:strike w:val="0"/>
          <w:sz w:val="22"/>
          <w:u w:val="none"/>
        </w:rPr>
        <w:t>The Supplier appoints the Distributor as its sole and exclusive distributor for the Products in Singapore (the "Territory") for the Term.</w:t>
      </w:r>
    </w:p>
    <w:p>
      <w:pPr>
        <w:spacing w:after="120" w:before="0"/>
        <w:jc w:val="both"/>
      </w:pPr>
      <w:r>
        <w:rPr>
          <w:rFonts w:ascii="Times New Roman" w:hAnsi="Times New Roman"/>
          <w:b w:val="0"/>
          <w:i w:val="0"/>
          <w:strike w:val="0"/>
          <w:sz w:val="22"/>
          <w:u w:val="none"/>
        </w:rPr>
        <w:t>1.2</w:t>
        <w:tab/>
      </w:r>
      <w:r>
        <w:rPr>
          <w:rFonts w:ascii="Times New Roman" w:hAnsi="Times New Roman"/>
          <w:b w:val="0"/>
          <w:i w:val="0"/>
          <w:strike w:val="0"/>
          <w:sz w:val="22"/>
          <w:u w:val="none"/>
        </w:rPr>
        <w:t>During the Term the Supplier shall not, and shall procure that no member of its group shall: (a) appoint any other distributor, agent or reseller for the Products in the Territory; (b) sell or supply the Products to any person in the Territory otherwise than through the Distributor; or (c) sell or supply the Products to any person outside the Territory where the Supplier knows, or ought reasonably to know, that those Products are intended for resale within the Territory.</w:t>
      </w:r>
    </w:p>
    <w:p>
      <w:pPr>
        <w:spacing w:after="120" w:before="0"/>
        <w:jc w:val="both"/>
      </w:pPr>
      <w:r>
        <w:rPr>
          <w:rFonts w:ascii="Times New Roman" w:hAnsi="Times New Roman"/>
          <w:b w:val="0"/>
          <w:i w:val="0"/>
          <w:strike w:val="0"/>
          <w:sz w:val="22"/>
          <w:u w:val="none"/>
        </w:rPr>
        <w:t>1.3</w:t>
        <w:tab/>
      </w:r>
      <w:r>
        <w:rPr>
          <w:rFonts w:ascii="Times New Roman" w:hAnsi="Times New Roman"/>
          <w:b w:val="0"/>
          <w:i w:val="0"/>
          <w:strike w:val="0"/>
          <w:sz w:val="22"/>
          <w:u w:val="none"/>
        </w:rPr>
        <w:t>Where the Supplier breaches clause 1.2, the Distributor shall be entitled, at its election and in addition to any other remedy, to a sum equal to the gross margin it would have earned on the affected sales had they been made through it, recoverable as a debt.</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Minimum Purchase and Forecasts</w:t>
      </w:r>
    </w:p>
    <w:p>
      <w:pPr>
        <w:spacing w:after="160" w:before="0"/>
        <w:jc w:val="both"/>
      </w:pPr>
      <w:r>
        <w:rPr>
          <w:rFonts w:ascii="Times New Roman" w:hAnsi="Times New Roman"/>
          <w:b w:val="0"/>
          <w:i w:val="0"/>
          <w:strike w:val="0"/>
          <w:sz w:val="22"/>
          <w:u w:val="none"/>
        </w:rPr>
        <w:t>The Distributor shall purchase not less than the minimum quantities in Schedule 2 in each Contract Year. A failure to meet the minimum shall not of itself constitute a breach, but where the shortfall exceeds twenty-five per cent (25%) in two consecutive Contract Years the Supplier may convert the appointment to a non-exclusive appointment on ninety (90) days' written notice. No shortfall shall be counted where it is attributable to a failure by the Supplier to deliver conforming Products. The Distributor shall provide non-binding rolling quarterly forecasts.</w:t>
      </w:r>
    </w:p>
    <w:p>
      <w:pPr>
        <w:spacing w:after="80" w:before="0"/>
      </w:pPr>
      <w:r>
        <w:rPr>
          <w:rFonts w:ascii="Times New Roman" w:hAnsi="Times New Roman"/>
          <w:b/>
          <w:i w:val="0"/>
          <w:strike w:val="0"/>
          <w:sz w:val="22"/>
          <w:u w:val="none"/>
        </w:rPr>
        <w:t xml:space="preserve">3. </w:t>
      </w:r>
      <w:r>
        <w:rPr>
          <w:rFonts w:ascii="Times New Roman" w:hAnsi="Times New Roman"/>
          <w:b/>
          <w:i w:val="0"/>
          <w:strike w:val="0"/>
          <w:sz w:val="22"/>
          <w:u w:val="none"/>
        </w:rPr>
        <w:t>Limitation of Liability</w:t>
      </w:r>
    </w:p>
    <w:p>
      <w:pPr>
        <w:spacing w:after="120" w:before="0"/>
        <w:jc w:val="both"/>
      </w:pPr>
      <w:r>
        <w:rPr>
          <w:rFonts w:ascii="Times New Roman" w:hAnsi="Times New Roman"/>
          <w:b w:val="0"/>
          <w:i w:val="0"/>
          <w:strike w:val="0"/>
          <w:sz w:val="22"/>
          <w:u w:val="none"/>
        </w:rPr>
        <w:t>3.1</w:t>
        <w:tab/>
      </w:r>
      <w:r>
        <w:rPr>
          <w:rFonts w:ascii="Times New Roman" w:hAnsi="Times New Roman"/>
          <w:b w:val="0"/>
          <w:i w:val="0"/>
          <w:strike w:val="0"/>
          <w:sz w:val="22"/>
          <w:u w:val="none"/>
        </w:rPr>
        <w:t>Subject to clauses 3.3 and 3.4, each party's total aggregate liability arising out of or in connection with this Agreement in any Contract Year, whether in contract, tort (including negligence), breach of statutory duty or otherwise, shall not exceed the greater of (a) the aggregate price of the Products purchased by the Distributor in the twelve (12) months immediately preceding the event giving rise to the claim, and (b) S$1,000,000.</w:t>
      </w:r>
    </w:p>
    <w:p>
      <w:pPr>
        <w:spacing w:after="120" w:before="0"/>
        <w:jc w:val="both"/>
      </w:pPr>
      <w:r>
        <w:rPr>
          <w:rFonts w:ascii="Times New Roman" w:hAnsi="Times New Roman"/>
          <w:b w:val="0"/>
          <w:i w:val="0"/>
          <w:strike w:val="0"/>
          <w:sz w:val="22"/>
          <w:u w:val="none"/>
        </w:rPr>
        <w:t>3.2</w:t>
        <w:tab/>
      </w:r>
      <w:r>
        <w:rPr>
          <w:rFonts w:ascii="Times New Roman" w:hAnsi="Times New Roman"/>
          <w:b w:val="0"/>
          <w:i w:val="0"/>
          <w:strike w:val="0"/>
          <w:sz w:val="22"/>
          <w:u w:val="none"/>
        </w:rPr>
        <w:t>Neither party shall be liable for any loss which is indirect or consequential. For the avoidance of doubt, and without limitation, each of the following is recoverable as a direct loss and is not excluded by this clause: the cost of any recall or withdrawal of Products; the cost of replacing or repairing defective Products; the reasonable cost of sourcing substitute product under clause 5.2(c); any fine or penalty imposed by a regulatory authority in the Territory; and the Distributor's lost gross margin on sales made in breach of clause 1.2.</w:t>
      </w:r>
    </w:p>
    <w:p>
      <w:pPr>
        <w:spacing w:after="120" w:before="0"/>
        <w:jc w:val="both"/>
      </w:pPr>
      <w:r>
        <w:rPr>
          <w:rFonts w:ascii="Times New Roman" w:hAnsi="Times New Roman"/>
          <w:b w:val="0"/>
          <w:i w:val="0"/>
          <w:strike w:val="0"/>
          <w:sz w:val="22"/>
          <w:u w:val="none"/>
        </w:rPr>
        <w:t>3.3</w:t>
        <w:tab/>
      </w:r>
      <w:r>
        <w:rPr>
          <w:rFonts w:ascii="Times New Roman" w:hAnsi="Times New Roman"/>
          <w:b w:val="0"/>
          <w:i w:val="0"/>
          <w:strike w:val="0"/>
          <w:sz w:val="22"/>
          <w:u w:val="none"/>
        </w:rPr>
        <w:t>The cap in clause 3.1 does not apply to the Supplier's liability under the indemnities in clause 4, nor to any sum payable under clauses 1.3 or 6.4, in each case which is unlimited.</w:t>
      </w:r>
    </w:p>
    <w:p>
      <w:pPr>
        <w:spacing w:after="120" w:before="0"/>
        <w:jc w:val="both"/>
      </w:pPr>
      <w:r>
        <w:rPr>
          <w:rFonts w:ascii="Times New Roman" w:hAnsi="Times New Roman"/>
          <w:b w:val="0"/>
          <w:i w:val="0"/>
          <w:strike w:val="0"/>
          <w:sz w:val="22"/>
          <w:u w:val="none"/>
        </w:rPr>
        <w:t>3.4</w:t>
        <w:tab/>
      </w:r>
      <w:r>
        <w:rPr>
          <w:rFonts w:ascii="Times New Roman" w:hAnsi="Times New Roman"/>
          <w:b w:val="0"/>
          <w:i w:val="0"/>
          <w:strike w:val="0"/>
          <w:sz w:val="22"/>
          <w:u w:val="none"/>
        </w:rPr>
        <w:t>Nothing in this Agreement limits or excludes liability for death or personal injury caused by negligence, for fraud or fraudulent misrepresentation, or for any liability which cannot lawfully be limited or excluded.</w:t>
      </w:r>
    </w:p>
    <w:p>
      <w:pPr>
        <w:spacing w:after="80" w:before="0"/>
      </w:pPr>
      <w:r>
        <w:rPr>
          <w:rFonts w:ascii="Times New Roman" w:hAnsi="Times New Roman"/>
          <w:b/>
          <w:i w:val="0"/>
          <w:strike w:val="0"/>
          <w:sz w:val="22"/>
          <w:u w:val="none"/>
        </w:rPr>
        <w:t xml:space="preserve">4. </w:t>
      </w:r>
      <w:r>
        <w:rPr>
          <w:rFonts w:ascii="Times New Roman" w:hAnsi="Times New Roman"/>
          <w:b/>
          <w:i w:val="0"/>
          <w:strike w:val="0"/>
          <w:sz w:val="22"/>
          <w:u w:val="none"/>
        </w:rPr>
        <w:t>Indemnities</w:t>
      </w:r>
    </w:p>
    <w:p>
      <w:pPr>
        <w:spacing w:after="120" w:before="0"/>
        <w:jc w:val="both"/>
      </w:pPr>
      <w:r>
        <w:rPr>
          <w:rFonts w:ascii="Times New Roman" w:hAnsi="Times New Roman"/>
          <w:b w:val="0"/>
          <w:i w:val="0"/>
          <w:strike w:val="0"/>
          <w:sz w:val="22"/>
          <w:u w:val="none"/>
        </w:rPr>
        <w:t>4.1</w:t>
        <w:tab/>
      </w:r>
      <w:r>
        <w:rPr>
          <w:rFonts w:ascii="Times New Roman" w:hAnsi="Times New Roman"/>
          <w:b w:val="0"/>
          <w:i w:val="0"/>
          <w:strike w:val="0"/>
          <w:sz w:val="22"/>
          <w:u w:val="none"/>
        </w:rPr>
        <w:t>The Supplier shall indemnify and hold harmless the Distributor against all losses, damages, costs and expenses (including reasonable legal costs and the reasonable cost of any recall or withdrawal) arising out of or in connection with any claim that any Product is defective, is not of satisfactory quality or fit for its purpose, or does not comply with any applicable safety, labelling, import or regulatory requirement in the Territory, save to the extent that the claim arises from the Distributor's storage, handling, transport or modification of the Product otherwise than in accordance with the Supplier's written instructions.</w:t>
      </w:r>
    </w:p>
    <w:p>
      <w:pPr>
        <w:spacing w:after="120" w:before="0"/>
        <w:jc w:val="both"/>
      </w:pPr>
      <w:r>
        <w:rPr>
          <w:rFonts w:ascii="Times New Roman" w:hAnsi="Times New Roman"/>
          <w:b w:val="0"/>
          <w:i w:val="0"/>
          <w:strike w:val="0"/>
          <w:sz w:val="22"/>
          <w:u w:val="none"/>
        </w:rPr>
        <w:t>4.2</w:t>
        <w:tab/>
      </w:r>
      <w:r>
        <w:rPr>
          <w:rFonts w:ascii="Times New Roman" w:hAnsi="Times New Roman"/>
          <w:b w:val="0"/>
          <w:i w:val="0"/>
          <w:strike w:val="0"/>
          <w:sz w:val="22"/>
          <w:u w:val="none"/>
        </w:rPr>
        <w:t>The Supplier shall indemnify the Distributor against all losses arising out of or in connection with any claim that the Products, or the Distributor's importation, marketing or resale of them in accordance with this Agreement, infringe the intellectual property rights of any third party. Where such a claim is made, the Supplier shall at its own cost procure for the Distributor the right to continue dealing in the Products, or modify or replace them so that they cease to infringe.</w:t>
      </w:r>
    </w:p>
    <w:p>
      <w:pPr>
        <w:spacing w:after="120" w:before="0"/>
        <w:jc w:val="both"/>
      </w:pPr>
      <w:r>
        <w:rPr>
          <w:rFonts w:ascii="Times New Roman" w:hAnsi="Times New Roman"/>
          <w:b w:val="0"/>
          <w:i w:val="0"/>
          <w:strike w:val="0"/>
          <w:sz w:val="22"/>
          <w:u w:val="none"/>
        </w:rPr>
        <w:t>4.3</w:t>
        <w:tab/>
      </w:r>
      <w:r>
        <w:rPr>
          <w:rFonts w:ascii="Times New Roman" w:hAnsi="Times New Roman"/>
          <w:b w:val="0"/>
          <w:i w:val="0"/>
          <w:strike w:val="0"/>
          <w:sz w:val="22"/>
          <w:u w:val="none"/>
        </w:rPr>
        <w:t>The Distributor shall indemnify the Supplier against all losses arising out of any representation or warranty made by the Distributor in respect of the Products which is not contained in the Supplier's own published materials.</w:t>
      </w:r>
    </w:p>
    <w:p>
      <w:pPr>
        <w:spacing w:after="120" w:before="0"/>
        <w:jc w:val="both"/>
      </w:pPr>
      <w:r>
        <w:rPr>
          <w:rFonts w:ascii="Times New Roman" w:hAnsi="Times New Roman"/>
          <w:b w:val="0"/>
          <w:i w:val="0"/>
          <w:strike w:val="0"/>
          <w:sz w:val="22"/>
          <w:u w:val="none"/>
        </w:rPr>
        <w:t>4.4</w:t>
        <w:tab/>
      </w:r>
      <w:r>
        <w:rPr>
          <w:rFonts w:ascii="Times New Roman" w:hAnsi="Times New Roman"/>
          <w:b w:val="0"/>
          <w:i w:val="0"/>
          <w:strike w:val="0"/>
          <w:sz w:val="22"/>
          <w:u w:val="none"/>
        </w:rPr>
        <w:t>The party seeking to rely on an indemnity shall notify the other promptly of any relevant claim, shall not admit liability or settle without the indemnifying party's consent (not to be unreasonably withheld), and shall permit the indemnifying party to conduct the defence at its own cost provided it does so diligently. A failure to notify promptly shall reduce the indemnity only to the extent the indemnifying party is actually prejudiced.</w:t>
      </w:r>
    </w:p>
    <w:p>
      <w:pPr>
        <w:spacing w:after="80" w:before="0"/>
      </w:pPr>
      <w:r>
        <w:rPr>
          <w:rFonts w:ascii="Times New Roman" w:hAnsi="Times New Roman"/>
          <w:b/>
          <w:i w:val="0"/>
          <w:strike w:val="0"/>
          <w:sz w:val="22"/>
          <w:u w:val="none"/>
        </w:rPr>
        <w:t xml:space="preserve">5. </w:t>
      </w:r>
      <w:r>
        <w:rPr>
          <w:rFonts w:ascii="Times New Roman" w:hAnsi="Times New Roman"/>
          <w:b/>
          <w:i w:val="0"/>
          <w:strike w:val="0"/>
          <w:sz w:val="22"/>
          <w:u w:val="none"/>
        </w:rPr>
        <w:t>Default</w:t>
      </w:r>
    </w:p>
    <w:p>
      <w:pPr>
        <w:spacing w:after="120" w:before="0"/>
        <w:jc w:val="both"/>
      </w:pPr>
      <w:r>
        <w:rPr>
          <w:rFonts w:ascii="Times New Roman" w:hAnsi="Times New Roman"/>
          <w:b w:val="0"/>
          <w:i w:val="0"/>
          <w:strike w:val="0"/>
          <w:sz w:val="22"/>
          <w:u w:val="none"/>
        </w:rPr>
        <w:t>5.1</w:t>
        <w:tab/>
      </w:r>
      <w:r>
        <w:rPr>
          <w:rFonts w:ascii="Times New Roman" w:hAnsi="Times New Roman"/>
          <w:b w:val="0"/>
          <w:i w:val="0"/>
          <w:strike w:val="0"/>
          <w:sz w:val="22"/>
          <w:u w:val="none"/>
        </w:rPr>
        <w:t>Each of the following constitutes an "Event of Default" in respect of a party: (a) a material breach of this Agreement which is not remediable, or which is remediable and is not remedied within thirty (30) days of written notice requiring its remedy; (b) in the case of the Supplier, a failure to deliver conforming Products against accepted orders on three (3) or more occasions in any six (6) month period, or any single such failure continuing for more than forty-five (45) days; (c) in the case of the Distributor, a failure to pay any undisputed sum within sixty (60) days of the due date; or (d) the appointment of a receiver, judicial manager or liquidator over the whole or any material part of a party's assets, the passing of a resolution for its winding up, or its entry into any composition or arrangement with creditors generally.</w:t>
      </w:r>
    </w:p>
    <w:p>
      <w:pPr>
        <w:spacing w:after="120" w:before="0"/>
        <w:jc w:val="both"/>
      </w:pPr>
      <w:r>
        <w:rPr>
          <w:rFonts w:ascii="Times New Roman" w:hAnsi="Times New Roman"/>
          <w:b w:val="0"/>
          <w:i w:val="0"/>
          <w:strike w:val="0"/>
          <w:sz w:val="22"/>
          <w:u w:val="none"/>
        </w:rPr>
        <w:t>5.2</w:t>
        <w:tab/>
      </w:r>
      <w:r>
        <w:rPr>
          <w:rFonts w:ascii="Times New Roman" w:hAnsi="Times New Roman"/>
          <w:b w:val="0"/>
          <w:i w:val="0"/>
          <w:strike w:val="0"/>
          <w:sz w:val="22"/>
          <w:u w:val="none"/>
        </w:rPr>
        <w:t>On the occurrence of an Event of Default in respect of the Supplier, the Distributor may, without prejudice to any other right or remedy and without any obligation to terminate: (a) require the Supplier to submit a written rectification plan within ten (10) business days and to implement it at its own cost; (b) withhold payment of the price of the affected Products until the default is remedied; (c) for so long as the default continues and for a reasonable period thereafter, source equivalent product from any third party and recover from the Supplier the reasonable additional cost of doing so, and the restriction in clause 8 shall not apply to any product so sourced; and (d) set off any sum due to it under this clause against any sum otherwise payable by it to the Supplier.</w:t>
      </w:r>
    </w:p>
    <w:p>
      <w:pPr>
        <w:spacing w:after="120" w:before="0"/>
        <w:jc w:val="both"/>
      </w:pPr>
      <w:r>
        <w:rPr>
          <w:rFonts w:ascii="Times New Roman" w:hAnsi="Times New Roman"/>
          <w:b w:val="0"/>
          <w:i w:val="0"/>
          <w:strike w:val="0"/>
          <w:sz w:val="22"/>
          <w:u w:val="none"/>
        </w:rPr>
        <w:t>5.3</w:t>
        <w:tab/>
      </w:r>
      <w:r>
        <w:rPr>
          <w:rFonts w:ascii="Times New Roman" w:hAnsi="Times New Roman"/>
          <w:b w:val="0"/>
          <w:i w:val="0"/>
          <w:strike w:val="0"/>
          <w:sz w:val="22"/>
          <w:u w:val="none"/>
        </w:rPr>
        <w:t>The exercise of any remedy under clause 5.2 shall not prejudice the Distributor's right subsequently to terminate under clause 6.2, and no delay or failure to exercise any right under this clause shall operate as a waiver of it.</w:t>
      </w:r>
    </w:p>
    <w:p>
      <w:pPr>
        <w:spacing w:after="80" w:before="0"/>
      </w:pPr>
      <w:r>
        <w:rPr>
          <w:rFonts w:ascii="Times New Roman" w:hAnsi="Times New Roman"/>
          <w:b/>
          <w:i w:val="0"/>
          <w:strike w:val="0"/>
          <w:sz w:val="22"/>
          <w:u w:val="none"/>
        </w:rPr>
        <w:t xml:space="preserve">6. </w:t>
      </w:r>
      <w:r>
        <w:rPr>
          <w:rFonts w:ascii="Times New Roman" w:hAnsi="Times New Roman"/>
          <w:b/>
          <w:i w:val="0"/>
          <w:strike w:val="0"/>
          <w:sz w:val="22"/>
          <w:u w:val="none"/>
        </w:rPr>
        <w:t>Term, Termination and Stock Buy-Back</w:t>
      </w:r>
    </w:p>
    <w:p>
      <w:pPr>
        <w:spacing w:after="120" w:before="0"/>
        <w:jc w:val="both"/>
      </w:pPr>
      <w:r>
        <w:rPr>
          <w:rFonts w:ascii="Times New Roman" w:hAnsi="Times New Roman"/>
          <w:b w:val="0"/>
          <w:i w:val="0"/>
          <w:strike w:val="0"/>
          <w:sz w:val="22"/>
          <w:u w:val="none"/>
        </w:rPr>
        <w:t>6.1</w:t>
        <w:tab/>
      </w:r>
      <w:r>
        <w:rPr>
          <w:rFonts w:ascii="Times New Roman" w:hAnsi="Times New Roman"/>
          <w:b w:val="0"/>
          <w:i w:val="0"/>
          <w:strike w:val="0"/>
          <w:sz w:val="22"/>
          <w:u w:val="none"/>
        </w:rPr>
        <w:t>This Agreement commences on the Effective Date and continues for an initial term of three (3) years, and thereafter automatically for successive periods of twelve (12) months unless terminated in accordance with this clause 6.</w:t>
      </w:r>
    </w:p>
    <w:p>
      <w:pPr>
        <w:spacing w:after="120" w:before="0"/>
        <w:jc w:val="both"/>
      </w:pPr>
      <w:r>
        <w:rPr>
          <w:rFonts w:ascii="Times New Roman" w:hAnsi="Times New Roman"/>
          <w:b w:val="0"/>
          <w:i w:val="0"/>
          <w:strike w:val="0"/>
          <w:sz w:val="22"/>
          <w:u w:val="none"/>
        </w:rPr>
        <w:t>6.2</w:t>
        <w:tab/>
      </w:r>
      <w:r>
        <w:rPr>
          <w:rFonts w:ascii="Times New Roman" w:hAnsi="Times New Roman"/>
          <w:b w:val="0"/>
          <w:i w:val="0"/>
          <w:strike w:val="0"/>
          <w:sz w:val="22"/>
          <w:u w:val="none"/>
        </w:rPr>
        <w:t>Either party may terminate this Agreement with immediate effect by written notice on the occurrence of an Event of Default in respect of the other party.</w:t>
      </w:r>
    </w:p>
    <w:p>
      <w:pPr>
        <w:spacing w:after="120" w:before="0"/>
        <w:jc w:val="both"/>
      </w:pPr>
      <w:r>
        <w:rPr>
          <w:rFonts w:ascii="Times New Roman" w:hAnsi="Times New Roman"/>
          <w:b w:val="0"/>
          <w:i w:val="0"/>
          <w:strike w:val="0"/>
          <w:sz w:val="22"/>
          <w:u w:val="none"/>
        </w:rPr>
        <w:t>6.3</w:t>
        <w:tab/>
      </w:r>
      <w:r>
        <w:rPr>
          <w:rFonts w:ascii="Times New Roman" w:hAnsi="Times New Roman"/>
          <w:b w:val="0"/>
          <w:i w:val="0"/>
          <w:strike w:val="0"/>
          <w:sz w:val="22"/>
          <w:u w:val="none"/>
        </w:rPr>
        <w:t>Either party may terminate this Agreement for convenience on twelve (12) months' written notice, provided that no such notice given by the Supplier may expire before the third anniversary of the Effective Date.</w:t>
      </w:r>
    </w:p>
    <w:p>
      <w:pPr>
        <w:spacing w:after="120" w:before="0"/>
        <w:jc w:val="both"/>
      </w:pPr>
      <w:r>
        <w:rPr>
          <w:rFonts w:ascii="Times New Roman" w:hAnsi="Times New Roman"/>
          <w:b w:val="0"/>
          <w:i w:val="0"/>
          <w:strike w:val="0"/>
          <w:sz w:val="22"/>
          <w:u w:val="none"/>
        </w:rPr>
        <w:t>6.4</w:t>
        <w:tab/>
      </w:r>
      <w:r>
        <w:rPr>
          <w:rFonts w:ascii="Times New Roman" w:hAnsi="Times New Roman"/>
          <w:b w:val="0"/>
          <w:i w:val="0"/>
          <w:strike w:val="0"/>
          <w:sz w:val="22"/>
          <w:u w:val="none"/>
        </w:rPr>
        <w:t>On expiry or termination for any reason, the Supplier shall repurchase all unsold Products then held by the Distributor which are in saleable condition and within their shelf life, at the price paid by the Distributor less any credit already given and less a handling deduction of ten per cent (10%), together with the reasonable cost of freight and insurance. Where the Distributor terminates following an Event of Default in respect of the Supplier, no handling deduction shall apply. The Supplier shall pay the repurchase price within thirty (30) days of collection, and the Distributor may retain, and continue to sell, the Products until payment is received in full.</w:t>
      </w:r>
    </w:p>
    <w:p>
      <w:pPr>
        <w:spacing w:after="120" w:before="0"/>
        <w:jc w:val="both"/>
      </w:pPr>
      <w:r>
        <w:rPr>
          <w:rFonts w:ascii="Times New Roman" w:hAnsi="Times New Roman"/>
          <w:b w:val="0"/>
          <w:i w:val="0"/>
          <w:strike w:val="0"/>
          <w:sz w:val="22"/>
          <w:u w:val="none"/>
        </w:rPr>
        <w:t>6.5</w:t>
        <w:tab/>
      </w:r>
      <w:r>
        <w:rPr>
          <w:rFonts w:ascii="Times New Roman" w:hAnsi="Times New Roman"/>
          <w:b w:val="0"/>
          <w:i w:val="0"/>
          <w:strike w:val="0"/>
          <w:sz w:val="22"/>
          <w:u w:val="none"/>
        </w:rPr>
        <w:t>On termination the Distributor shall cease to use the Supplier's trade marks, save that it may continue to use them for the purpose of selling any Products not repurchased under clause 6.4, and for a period of six (6) months thereafter.</w:t>
      </w:r>
    </w:p>
    <w:p>
      <w:pPr>
        <w:spacing w:after="120" w:before="0"/>
        <w:jc w:val="both"/>
      </w:pPr>
      <w:r>
        <w:rPr>
          <w:rFonts w:ascii="Times New Roman" w:hAnsi="Times New Roman"/>
          <w:b w:val="0"/>
          <w:i w:val="0"/>
          <w:strike w:val="0"/>
          <w:sz w:val="22"/>
          <w:u w:val="none"/>
        </w:rPr>
        <w:t>6.6</w:t>
        <w:tab/>
      </w:r>
      <w:r>
        <w:rPr>
          <w:rFonts w:ascii="Times New Roman" w:hAnsi="Times New Roman"/>
          <w:b w:val="0"/>
          <w:i w:val="0"/>
          <w:strike w:val="0"/>
          <w:sz w:val="22"/>
          <w:u w:val="none"/>
        </w:rPr>
        <w:t>Termination shall not affect any accrued right or liability, and clauses 3, 4, 6.4, 6.5, 7, 9 and 10 survive termination.</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Trade Marks and Goodwill</w:t>
      </w:r>
    </w:p>
    <w:p>
      <w:pPr>
        <w:spacing w:after="160" w:before="0"/>
        <w:jc w:val="both"/>
      </w:pPr>
      <w:r>
        <w:rPr>
          <w:rFonts w:ascii="Times New Roman" w:hAnsi="Times New Roman"/>
          <w:b w:val="0"/>
          <w:i w:val="0"/>
          <w:strike w:val="0"/>
          <w:sz w:val="22"/>
          <w:u w:val="none"/>
        </w:rPr>
        <w:t>The Distributor shall use the Supplier's trade marks solely in relation to the Products and in accordance with the Supplier's reasonable written guidelines, and all goodwill accruing from that use enures to the benefit of the Supplier. The Supplier shall not, and shall procure that no member of its group shall, register in the Territory any trade mark which is identical or confusingly similar to any mark used by the Distributor in respect of its own business.</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Non-Competition</w:t>
      </w:r>
    </w:p>
    <w:p>
      <w:pPr>
        <w:spacing w:after="160" w:before="0"/>
        <w:jc w:val="both"/>
      </w:pPr>
      <w:r>
        <w:rPr>
          <w:rFonts w:ascii="Times New Roman" w:hAnsi="Times New Roman"/>
          <w:b w:val="0"/>
          <w:i w:val="0"/>
          <w:strike w:val="0"/>
          <w:sz w:val="22"/>
          <w:u w:val="none"/>
        </w:rPr>
        <w:t>During the Term the Distributor shall not distribute in the Territory any product which directly competes with the Products, save as permitted by clause 5.2(c) and save for the products listed in Schedule 3 which the Distributor already distributes at the date of this Agreement. This clause imposes no restriction on the Distributor after termination or expiry.</w:t>
      </w:r>
    </w:p>
    <w:p>
      <w:pPr>
        <w:spacing w:after="60" w:before="80"/>
      </w:pPr>
      <w:r>
        <w:rPr>
          <w:rFonts w:ascii="Times New Roman" w:hAnsi="Times New Roman"/>
          <w:b/>
          <w:i w:val="0"/>
          <w:strike w:val="0"/>
          <w:sz w:val="22"/>
          <w:u w:val="none"/>
        </w:rPr>
        <w:t xml:space="preserve">9. </w:t>
      </w:r>
      <w:r>
        <w:rPr>
          <w:rFonts w:ascii="Times New Roman" w:hAnsi="Times New Roman"/>
          <w:b/>
          <w:i w:val="0"/>
          <w:strike w:val="0"/>
          <w:sz w:val="22"/>
          <w:u w:val="none"/>
        </w:rPr>
        <w:t>Confidentiality</w:t>
      </w:r>
    </w:p>
    <w:p>
      <w:pPr>
        <w:spacing w:after="160" w:before="0"/>
        <w:jc w:val="both"/>
      </w:pPr>
      <w:r>
        <w:rPr>
          <w:rFonts w:ascii="Times New Roman" w:hAnsi="Times New Roman"/>
          <w:b w:val="0"/>
          <w:i w:val="0"/>
          <w:strike w:val="0"/>
          <w:sz w:val="22"/>
          <w:u w:val="none"/>
        </w:rPr>
        <w:t>Each party shall keep confidential all information disclosed to it by the other which is marked as confidential or which ought reasonably to be regarded as confidential, and shall use it solely for the purposes of this Agreement.</w:t>
      </w:r>
    </w:p>
    <w:p>
      <w:pPr>
        <w:spacing w:after="60" w:before="80"/>
      </w:pPr>
      <w:r>
        <w:rPr>
          <w:rFonts w:ascii="Times New Roman" w:hAnsi="Times New Roman"/>
          <w:b/>
          <w:i w:val="0"/>
          <w:strike w:val="0"/>
          <w:sz w:val="22"/>
          <w:u w:val="none"/>
        </w:rPr>
        <w:t xml:space="preserve">10. </w:t>
      </w:r>
      <w:r>
        <w:rPr>
          <w:rFonts w:ascii="Times New Roman" w:hAnsi="Times New Roman"/>
          <w:b/>
          <w:i w:val="0"/>
          <w:strike w:val="0"/>
          <w:sz w:val="22"/>
          <w:u w:val="none"/>
        </w:rPr>
        <w:t>Governing Law and Dispute Resolution</w:t>
      </w:r>
    </w:p>
    <w:p>
      <w:pPr>
        <w:spacing w:after="160" w:before="0"/>
        <w:jc w:val="both"/>
      </w:pPr>
      <w:r>
        <w:rPr>
          <w:rFonts w:ascii="Times New Roman" w:hAnsi="Times New Roman"/>
          <w:b w:val="0"/>
          <w:i w:val="0"/>
          <w:strike w:val="0"/>
          <w:sz w:val="22"/>
          <w:u w:val="none"/>
        </w:rPr>
        <w:t>This Agreement is governed by and shall be construed in accordance with the laws of Singapore. Any dispute arising out of or in connection with this Agreement shall be referred to and finally resolved by arbitration administered by the Singapore International Arbitration Centre in accordance with its Arbitration Rules for the time being in force. The seat shall be Singapore, the language English, and the tribunal shall consist of one (1) arbitrator.</w:t>
      </w:r>
    </w:p>
    <w:p>
      <w:pPr>
        <w:spacing w:after="60" w:before="80"/>
      </w:pPr>
      <w:r>
        <w:rPr>
          <w:rFonts w:ascii="Times New Roman" w:hAnsi="Times New Roman"/>
          <w:b/>
          <w:i w:val="0"/>
          <w:strike w:val="0"/>
          <w:sz w:val="22"/>
          <w:u w:val="none"/>
        </w:rPr>
        <w:t xml:space="preserve">11. </w:t>
      </w:r>
      <w:r>
        <w:rPr>
          <w:rFonts w:ascii="Times New Roman" w:hAnsi="Times New Roman"/>
          <w:b/>
          <w:i w:val="0"/>
          <w:strike w:val="0"/>
          <w:sz w:val="22"/>
          <w:u w:val="none"/>
        </w:rPr>
        <w:t>Rights of Third Parties</w:t>
      </w:r>
    </w:p>
    <w:p>
      <w:pPr>
        <w:spacing w:after="160" w:before="0"/>
        <w:jc w:val="both"/>
      </w:pPr>
      <w:r>
        <w:rPr>
          <w:rFonts w:ascii="Times New Roman" w:hAnsi="Times New Roman"/>
          <w:b w:val="0"/>
          <w:i w:val="0"/>
          <w:strike w:val="0"/>
          <w:sz w:val="22"/>
          <w:u w:val="none"/>
        </w:rPr>
        <w:t>A person who is not a party to this Agreement has no rights under the Contracts (Rights of Third Parties) Act 2001 to enforce any term of this Agreement.</w:t>
      </w:r>
    </w:p>
    <w:p>
      <w:pPr>
        <w:spacing w:after="120" w:before="0"/>
      </w:pPr>
    </w:p>
    <w:p>
      <w:pPr>
        <w:spacing w:after="200" w:before="0"/>
      </w:pPr>
      <w:r>
        <w:rPr>
          <w:rFonts w:ascii="Times New Roman" w:hAnsi="Times New Roman"/>
          <w:b/>
          <w:i w:val="0"/>
          <w:strike w:val="0"/>
          <w:sz w:val="22"/>
          <w:u w:val="none"/>
        </w:rPr>
        <w:t>EXECUTED as an agreement on 18 August 2026.</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