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WEE CORPORATE LAW LLC</w:t>
      </w:r>
    </w:p>
    <w:p>
      <w:pPr>
        <w:spacing w:after="120" w:before="0"/>
        <w:jc w:val="center"/>
      </w:pPr>
      <w:r>
        <w:rPr>
          <w:rFonts w:ascii="Times New Roman" w:hAnsi="Times New Roman"/>
          <w:b/>
          <w:i w:val="0"/>
          <w:strike w:val="0"/>
          <w:sz w:val="26"/>
          <w:u w:val="none"/>
        </w:rPr>
        <w:t>ATTENDANCE NOTE</w:t>
      </w:r>
    </w:p>
    <w:p>
      <w:pPr>
        <w:spacing w:after="120" w:before="0"/>
      </w:pPr>
    </w:p>
    <w:p>
      <w:pPr>
        <w:spacing w:after="40" w:before="0"/>
      </w:pPr>
      <w:r>
        <w:rPr>
          <w:rFonts w:ascii="Times New Roman" w:hAnsi="Times New Roman"/>
          <w:b/>
          <w:i w:val="0"/>
          <w:strike w:val="0"/>
          <w:sz w:val="22"/>
          <w:u w:val="none"/>
        </w:rPr>
        <w:t>Matter: MAT-2026-0631 — Meridian Retail Concepts / Halcyon Instruments</w:t>
      </w:r>
    </w:p>
    <w:p>
      <w:pPr>
        <w:spacing w:after="40" w:before="0"/>
      </w:pPr>
      <w:r>
        <w:rPr>
          <w:rFonts w:ascii="Times New Roman" w:hAnsi="Times New Roman"/>
          <w:b w:val="0"/>
          <w:i w:val="0"/>
          <w:strike w:val="0"/>
          <w:sz w:val="22"/>
          <w:u w:val="none"/>
        </w:rPr>
        <w:t>Attendance: Negotiation call, 14 August 2026</w:t>
      </w:r>
    </w:p>
    <w:p>
      <w:pPr>
        <w:spacing w:after="40" w:before="0"/>
      </w:pPr>
      <w:r>
        <w:rPr>
          <w:rFonts w:ascii="Times New Roman" w:hAnsi="Times New Roman"/>
          <w:b w:val="0"/>
          <w:i w:val="0"/>
          <w:strike w:val="0"/>
          <w:sz w:val="22"/>
          <w:u w:val="none"/>
        </w:rPr>
        <w:t>Present: J. Wee, F. Iskandar (Meridian), counsel for Halcyon</w:t>
      </w:r>
    </w:p>
    <w:p>
      <w:pPr>
        <w:spacing w:after="40" w:before="0"/>
      </w:pPr>
      <w:r>
        <w:rPr>
          <w:rFonts w:ascii="Times New Roman" w:hAnsi="Times New Roman"/>
          <w:b w:val="0"/>
          <w:i w:val="0"/>
          <w:strike w:val="0"/>
          <w:sz w:val="22"/>
          <w:u w:val="none"/>
        </w:rPr>
        <w:t>Prepared by: J. Wee</w:t>
      </w:r>
    </w:p>
    <w:p>
      <w:pPr>
        <w:spacing w:after="120" w:before="0"/>
      </w:pPr>
    </w:p>
    <w:p>
      <w:pPr>
        <w:spacing w:after="120" w:before="0"/>
        <w:jc w:val="both"/>
      </w:pPr>
      <w:r>
        <w:rPr>
          <w:rFonts w:ascii="Times New Roman" w:hAnsi="Times New Roman"/>
          <w:b w:val="0"/>
          <w:i w:val="0"/>
          <w:strike w:val="0"/>
          <w:sz w:val="22"/>
          <w:u w:val="none"/>
        </w:rPr>
        <w:t>Product liability indemnity. They withdrew the wider carve-out without much of a fight once it was pointed out that 'any act or omission of the Distributor' would include the act of selling the product, and so would extinguish the indemnity entirely. Original wording restored at clause 4.1.</w:t>
      </w:r>
    </w:p>
    <w:p>
      <w:pPr>
        <w:spacing w:after="120" w:before="0"/>
        <w:jc w:val="both"/>
      </w:pPr>
      <w:r>
        <w:rPr>
          <w:rFonts w:ascii="Times New Roman" w:hAnsi="Times New Roman"/>
          <w:b w:val="0"/>
          <w:i w:val="0"/>
          <w:strike w:val="0"/>
          <w:sz w:val="22"/>
          <w:u w:val="none"/>
        </w:rPr>
        <w:t>Indirect supply into the Territory. Landed on an objective standard — knows or ought reasonably to know. Their concern about policing goods after title passes was met by the point that an objective standard asks what the supplier ought to have known at the point of sale, not what happens afterwards.</w:t>
      </w:r>
    </w:p>
    <w:p>
      <w:pPr>
        <w:spacing w:after="120" w:before="0"/>
        <w:jc w:val="both"/>
      </w:pPr>
      <w:r>
        <w:rPr>
          <w:rFonts w:ascii="Times New Roman" w:hAnsi="Times New Roman"/>
          <w:b w:val="0"/>
          <w:i w:val="0"/>
          <w:strike w:val="0"/>
          <w:sz w:val="22"/>
          <w:u w:val="none"/>
        </w:rPr>
        <w:t>Stock buy-back. Settled at a 10% handling deduction, with no deduction where we terminate for their default. Ms Iskandar was content; on six months of inventory the difference between 10% and their opening 30% is a little over S$400,000.</w:t>
      </w:r>
    </w:p>
    <w:p>
      <w:pPr>
        <w:spacing w:after="120" w:before="0"/>
        <w:jc w:val="both"/>
      </w:pPr>
      <w:r>
        <w:rPr>
          <w:rFonts w:ascii="Times New Roman" w:hAnsi="Times New Roman"/>
          <w:b w:val="0"/>
          <w:i w:val="0"/>
          <w:strike w:val="0"/>
          <w:sz w:val="22"/>
          <w:u w:val="none"/>
        </w:rPr>
        <w:t>For the knowledge file: the three provisions in this agreement worth reusing on any distributor-side mandate are clause 1.2 read with clause 1.3 (exclusivity expressed as undertakings, with a liquidated margin recovery), clause 3.2 (recall and substitution costs expressly characterised as direct loss), and clause 6.4 (buy-back with the asymmetric deduction). The default ladder at clause 5.2 mirrors the services form at MAT-2026-0602 and the two should be kept aligned.</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