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CHANNEL PARTNER FRAMEWORK DEED</w:t>
      </w:r>
    </w:p>
    <w:p>
      <w:pPr>
        <w:spacing w:after="120" w:before="0"/>
        <w:jc w:val="center"/>
      </w:pPr>
      <w:r>
        <w:rPr>
          <w:rFonts w:ascii="Times New Roman" w:hAnsi="Times New Roman"/>
          <w:b w:val="0"/>
          <w:i/>
          <w:strike w:val="0"/>
          <w:sz w:val="22"/>
          <w:u w:val="none"/>
        </w:rPr>
        <w:t>(Execution Version — 24 February 2026)</w:t>
      </w:r>
    </w:p>
    <w:p>
      <w:pPr>
        <w:spacing w:after="120" w:before="0"/>
        <w:jc w:val="center"/>
      </w:pPr>
      <w:r>
        <w:rPr>
          <w:rFonts w:ascii="Times New Roman" w:hAnsi="Times New Roman"/>
          <w:b w:val="0"/>
          <w:i/>
          <w:strike w:val="0"/>
          <w:sz w:val="22"/>
          <w:u w:val="none"/>
        </w:rPr>
        <w:t>between</w:t>
      </w:r>
    </w:p>
    <w:p>
      <w:pPr>
        <w:spacing w:after="120" w:before="0"/>
        <w:jc w:val="center"/>
      </w:pPr>
      <w:r>
        <w:rPr>
          <w:rFonts w:ascii="Times New Roman" w:hAnsi="Times New Roman"/>
          <w:b/>
          <w:i w:val="0"/>
          <w:strike w:val="0"/>
          <w:sz w:val="26"/>
          <w:u w:val="none"/>
        </w:rPr>
        <w:t>AURELIAN SCIENTIFIC B.V. and SOLSTICE INSTRUMENTS PTE. LTD.</w:t>
      </w:r>
    </w:p>
    <w:p>
      <w:pPr>
        <w:spacing w:after="120" w:before="0"/>
      </w:pPr>
    </w:p>
    <w:p>
      <w:pPr>
        <w:spacing w:after="120" w:before="0"/>
        <w:jc w:val="both"/>
      </w:pPr>
      <w:r>
        <w:rPr>
          <w:rFonts w:ascii="Times New Roman" w:hAnsi="Times New Roman"/>
          <w:b w:val="0"/>
          <w:i w:val="0"/>
          <w:strike w:val="0"/>
          <w:sz w:val="22"/>
          <w:u w:val="none"/>
        </w:rPr>
        <w:t>Parties: (1) Aurelian Scientific B.V., of Herengracht 402, 1017 BX Amsterdam, the Netherlands (the "Originator"); and (2) Solstice Instruments Pte. Ltd. (Company Registration No. 201822304J) (the "Channel Partner").</w:t>
      </w:r>
    </w:p>
    <w:p>
      <w:pPr>
        <w:spacing w:after="80" w:before="0"/>
      </w:pPr>
      <w:r>
        <w:rPr>
          <w:rFonts w:ascii="Times New Roman" w:hAnsi="Times New Roman"/>
          <w:b/>
          <w:i w:val="0"/>
          <w:strike w:val="0"/>
          <w:sz w:val="22"/>
          <w:u w:val="none"/>
        </w:rPr>
        <w:t xml:space="preserve">1. </w:t>
      </w:r>
      <w:r>
        <w:rPr>
          <w:rFonts w:ascii="Times New Roman" w:hAnsi="Times New Roman"/>
          <w:b/>
          <w:i w:val="0"/>
          <w:strike w:val="0"/>
          <w:sz w:val="22"/>
          <w:u w:val="none"/>
        </w:rPr>
        <w:t>Channel Primacy</w:t>
      </w:r>
    </w:p>
    <w:p>
      <w:pPr>
        <w:spacing w:after="120" w:before="0"/>
        <w:jc w:val="both"/>
      </w:pPr>
      <w:r>
        <w:rPr>
          <w:rFonts w:ascii="Times New Roman" w:hAnsi="Times New Roman"/>
          <w:b w:val="0"/>
          <w:i w:val="0"/>
          <w:strike w:val="0"/>
          <w:sz w:val="22"/>
          <w:u w:val="none"/>
        </w:rPr>
        <w:t>1.1</w:t>
        <w:tab/>
      </w:r>
      <w:r>
        <w:rPr>
          <w:rFonts w:ascii="Times New Roman" w:hAnsi="Times New Roman"/>
          <w:b w:val="0"/>
          <w:i w:val="0"/>
          <w:strike w:val="0"/>
          <w:sz w:val="22"/>
          <w:u w:val="none"/>
        </w:rPr>
        <w:t>The Originator grants the Channel Partner primacy in respect of the Range within the Zone for the Committed Period, meaning that the Originator shall route all opportunities within the Zone through the Channel Partner.</w:t>
      </w:r>
    </w:p>
    <w:p>
      <w:pPr>
        <w:spacing w:after="120" w:before="0"/>
        <w:jc w:val="both"/>
      </w:pPr>
      <w:r>
        <w:rPr>
          <w:rFonts w:ascii="Times New Roman" w:hAnsi="Times New Roman"/>
          <w:b w:val="0"/>
          <w:i w:val="0"/>
          <w:strike w:val="0"/>
          <w:sz w:val="22"/>
          <w:u w:val="none"/>
        </w:rPr>
        <w:t>1.2</w:t>
        <w:tab/>
      </w:r>
      <w:r>
        <w:rPr>
          <w:rFonts w:ascii="Times New Roman" w:hAnsi="Times New Roman"/>
          <w:b w:val="0"/>
          <w:i w:val="0"/>
          <w:strike w:val="0"/>
          <w:sz w:val="22"/>
          <w:u w:val="none"/>
        </w:rPr>
        <w:t>For the duration of the Committed Period the Originator shall not, and shall procure that no member of its group shall: (a) confer equivalent primacy on any other person in respect of the Range within the Zone; (b) supply the Range to any person within the Zone save through the Channel Partner; or (c) supply the Range to any person outside the Zone where the Originator knows, or ought reasonably to know, that the Range is destined for onward supply within the Zone.</w:t>
      </w:r>
    </w:p>
    <w:p>
      <w:pPr>
        <w:spacing w:after="120" w:before="0"/>
        <w:jc w:val="both"/>
      </w:pPr>
      <w:r>
        <w:rPr>
          <w:rFonts w:ascii="Times New Roman" w:hAnsi="Times New Roman"/>
          <w:b w:val="0"/>
          <w:i w:val="0"/>
          <w:strike w:val="0"/>
          <w:sz w:val="22"/>
          <w:u w:val="none"/>
        </w:rPr>
        <w:t>1.3</w:t>
        <w:tab/>
      </w:r>
      <w:r>
        <w:rPr>
          <w:rFonts w:ascii="Times New Roman" w:hAnsi="Times New Roman"/>
          <w:b w:val="0"/>
          <w:i w:val="0"/>
          <w:strike w:val="0"/>
          <w:sz w:val="22"/>
          <w:u w:val="none"/>
        </w:rPr>
        <w:t>Where the Originator acts inconsistently with clause 1.2, the Channel Partner may recover from the Originator, as a liquidated sum and not as damages, an amount equal to the commercial uplift it would have realised had the supply been routed through it.</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Volume Expectations</w:t>
      </w:r>
    </w:p>
    <w:p>
      <w:pPr>
        <w:spacing w:after="160" w:before="0"/>
        <w:jc w:val="both"/>
      </w:pPr>
      <w:r>
        <w:rPr>
          <w:rFonts w:ascii="Times New Roman" w:hAnsi="Times New Roman"/>
          <w:b w:val="0"/>
          <w:i w:val="0"/>
          <w:strike w:val="0"/>
          <w:sz w:val="22"/>
          <w:u w:val="none"/>
        </w:rPr>
        <w:t>The Channel Partner shall take up not less than the volumes set out in the Commercial Annexe in each Reference Year. A shortfall does not of itself constitute an Event of Non-Performance, but where a shortfall exceeds twenty-five per cent (25%) in two consecutive Reference Years the Originator may withdraw primacy under clause 1.1 on ninety (90) days' notice. No shortfall shall be counted to the extent it is attributable to the Originator's failure to supply conforming units.</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Financial Limits</w:t>
      </w:r>
    </w:p>
    <w:p>
      <w:pPr>
        <w:spacing w:after="120" w:before="0"/>
        <w:jc w:val="both"/>
      </w:pPr>
      <w:r>
        <w:rPr>
          <w:rFonts w:ascii="Times New Roman" w:hAnsi="Times New Roman"/>
          <w:b w:val="0"/>
          <w:i w:val="0"/>
          <w:strike w:val="0"/>
          <w:sz w:val="22"/>
          <w:u w:val="none"/>
        </w:rPr>
        <w:t>3.1</w:t>
        <w:tab/>
      </w:r>
      <w:r>
        <w:rPr>
          <w:rFonts w:ascii="Times New Roman" w:hAnsi="Times New Roman"/>
          <w:b w:val="0"/>
          <w:i w:val="0"/>
          <w:strike w:val="0"/>
          <w:sz w:val="22"/>
          <w:u w:val="none"/>
        </w:rPr>
        <w:t>Save as provided in clauses 3.3 and 3.4, the total aggregate exposure of each party arising out of or in connection with this Deed in any Reference Year, howsoever arising and whether in contract, in tort (including negligence), for breach of statutory duty or otherwise, shall be confined to the greater of (a) the aggregate consideration paid by the Channel Partner for units taken up in the preceding twelve (12) months, and (b) S$1,000,000.</w:t>
      </w:r>
    </w:p>
    <w:p>
      <w:pPr>
        <w:spacing w:after="120" w:before="0"/>
        <w:jc w:val="both"/>
      </w:pPr>
      <w:r>
        <w:rPr>
          <w:rFonts w:ascii="Times New Roman" w:hAnsi="Times New Roman"/>
          <w:b w:val="0"/>
          <w:i w:val="0"/>
          <w:strike w:val="0"/>
          <w:sz w:val="22"/>
          <w:u w:val="none"/>
        </w:rPr>
        <w:t>3.2</w:t>
        <w:tab/>
      </w:r>
      <w:r>
        <w:rPr>
          <w:rFonts w:ascii="Times New Roman" w:hAnsi="Times New Roman"/>
          <w:b w:val="0"/>
          <w:i w:val="0"/>
          <w:strike w:val="0"/>
          <w:sz w:val="22"/>
          <w:u w:val="none"/>
        </w:rPr>
        <w:t>Neither party bears exposure for consequences which are remote or collateral. It is nevertheless agreed and declared that each of the following is an immediate consequence and is not confined by this clause: the expense of any withdrawal or retrieval of units from the market; the expense of remedying or substituting non-conforming units; the expense of procuring alternative units under clause 5.2(c); any levy imposed by a public authority within the Zone; and the commercial uplift forgone on supplies made contrary to clause 1.2.</w:t>
      </w:r>
    </w:p>
    <w:p>
      <w:pPr>
        <w:spacing w:after="120" w:before="0"/>
        <w:jc w:val="both"/>
      </w:pPr>
      <w:r>
        <w:rPr>
          <w:rFonts w:ascii="Times New Roman" w:hAnsi="Times New Roman"/>
          <w:b w:val="0"/>
          <w:i w:val="0"/>
          <w:strike w:val="0"/>
          <w:sz w:val="22"/>
          <w:u w:val="none"/>
        </w:rPr>
        <w:t>3.3</w:t>
        <w:tab/>
      </w:r>
      <w:r>
        <w:rPr>
          <w:rFonts w:ascii="Times New Roman" w:hAnsi="Times New Roman"/>
          <w:b w:val="0"/>
          <w:i w:val="0"/>
          <w:strike w:val="0"/>
          <w:sz w:val="22"/>
          <w:u w:val="none"/>
        </w:rPr>
        <w:t>The confinement in clause 3.1 does not extend to the Originator's exposure under clause 4 (Hold Harmless Undertaking), nor to any sum falling due under clause 1.3 or clause 6.4, each of which is unconfined.</w:t>
      </w:r>
    </w:p>
    <w:p>
      <w:pPr>
        <w:spacing w:after="120" w:before="0"/>
        <w:jc w:val="both"/>
      </w:pPr>
      <w:r>
        <w:rPr>
          <w:rFonts w:ascii="Times New Roman" w:hAnsi="Times New Roman"/>
          <w:b w:val="0"/>
          <w:i w:val="0"/>
          <w:strike w:val="0"/>
          <w:sz w:val="22"/>
          <w:u w:val="none"/>
        </w:rPr>
        <w:t>3.4</w:t>
        <w:tab/>
      </w:r>
      <w:r>
        <w:rPr>
          <w:rFonts w:ascii="Times New Roman" w:hAnsi="Times New Roman"/>
          <w:b w:val="0"/>
          <w:i w:val="0"/>
          <w:strike w:val="0"/>
          <w:sz w:val="22"/>
          <w:u w:val="none"/>
        </w:rPr>
        <w:t>Nothing in this Deed confines exposure for death or personal injury occasioned by negligence, for dishonesty, or for any exposure which may not lawfully be confined.</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Hold Harmless Undertaking</w:t>
      </w:r>
    </w:p>
    <w:p>
      <w:pPr>
        <w:spacing w:after="120" w:before="0"/>
        <w:jc w:val="both"/>
      </w:pPr>
      <w:r>
        <w:rPr>
          <w:rFonts w:ascii="Times New Roman" w:hAnsi="Times New Roman"/>
          <w:b w:val="0"/>
          <w:i w:val="0"/>
          <w:strike w:val="0"/>
          <w:sz w:val="22"/>
          <w:u w:val="none"/>
        </w:rPr>
        <w:t>4.1</w:t>
        <w:tab/>
      </w:r>
      <w:r>
        <w:rPr>
          <w:rFonts w:ascii="Times New Roman" w:hAnsi="Times New Roman"/>
          <w:b w:val="0"/>
          <w:i w:val="0"/>
          <w:strike w:val="0"/>
          <w:sz w:val="22"/>
          <w:u w:val="none"/>
        </w:rPr>
        <w:t>The Originator shall hold the Channel Partner harmless against every expense, liability and outlay (including reasonable legal expense and the reasonable expense of any withdrawal or retrieval) referable to any assertion that a unit of the Range is deficient, is not of satisfactory standard or fit for its intended application, or fails to conform to any safety, labelling, importation or regulatory requirement applicable within the Zone, save to the extent that the assertion is referable to the Channel Partner's own storage, handling, carriage or alteration of the unit otherwise than in conformity with the Originator's written directions.</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The Originator shall hold the Channel Partner harmless against every expense referable to any assertion that the Range, or the Channel Partner's importation, promotion or onward supply of it in conformity with this Deed, trespasses upon the proprietary rights of any third person.</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The Channel Partner shall hold the Originator harmless against every expense referable to any assertion or assurance made by the Channel Partner in respect of the Range which is not contained in the Originator's own published materials.</w:t>
      </w:r>
    </w:p>
    <w:p>
      <w:pPr>
        <w:spacing w:after="120" w:before="0"/>
        <w:jc w:val="both"/>
      </w:pPr>
      <w:r>
        <w:rPr>
          <w:rFonts w:ascii="Times New Roman" w:hAnsi="Times New Roman"/>
          <w:b w:val="0"/>
          <w:i w:val="0"/>
          <w:strike w:val="0"/>
          <w:sz w:val="22"/>
          <w:u w:val="none"/>
        </w:rPr>
        <w:t>4.4</w:t>
        <w:tab/>
      </w:r>
      <w:r>
        <w:rPr>
          <w:rFonts w:ascii="Times New Roman" w:hAnsi="Times New Roman"/>
          <w:b w:val="0"/>
          <w:i w:val="0"/>
          <w:strike w:val="0"/>
          <w:sz w:val="22"/>
          <w:u w:val="none"/>
        </w:rPr>
        <w:t>A party invoking clause 4.1, 4.2 or 4.3 shall notify the other promptly, shall neither concede liability nor compromise the assertion without the other's concurrence (not to be unreasonably withheld), and shall permit the other to conduct the resistance of the assertion at its own expense provided it does so diligently.</w:t>
      </w:r>
    </w:p>
    <w:p>
      <w:pPr>
        <w:spacing w:after="80" w:before="0"/>
      </w:pPr>
      <w:r>
        <w:rPr>
          <w:rFonts w:ascii="Times New Roman" w:hAnsi="Times New Roman"/>
          <w:b/>
          <w:i w:val="0"/>
          <w:strike w:val="0"/>
          <w:sz w:val="22"/>
          <w:u w:val="none"/>
        </w:rPr>
        <w:t xml:space="preserve">5. </w:t>
      </w:r>
      <w:r>
        <w:rPr>
          <w:rFonts w:ascii="Times New Roman" w:hAnsi="Times New Roman"/>
          <w:b/>
          <w:i w:val="0"/>
          <w:strike w:val="0"/>
          <w:sz w:val="22"/>
          <w:u w:val="none"/>
        </w:rPr>
        <w:t>Events of Non-Performance</w:t>
      </w:r>
    </w:p>
    <w:p>
      <w:pPr>
        <w:spacing w:after="120" w:before="0"/>
        <w:jc w:val="both"/>
      </w:pPr>
      <w:r>
        <w:rPr>
          <w:rFonts w:ascii="Times New Roman" w:hAnsi="Times New Roman"/>
          <w:b w:val="0"/>
          <w:i w:val="0"/>
          <w:strike w:val="0"/>
          <w:sz w:val="22"/>
          <w:u w:val="none"/>
        </w:rPr>
        <w:t>5.1</w:t>
        <w:tab/>
      </w:r>
      <w:r>
        <w:rPr>
          <w:rFonts w:ascii="Times New Roman" w:hAnsi="Times New Roman"/>
          <w:b w:val="0"/>
          <w:i w:val="0"/>
          <w:strike w:val="0"/>
          <w:sz w:val="22"/>
          <w:u w:val="none"/>
        </w:rPr>
        <w:t>Each of the following is an "Event of Non-Performance" in respect of a party: (a) a substantial failure to observe this Deed which is incapable of correction, or which is capable of correction and is not corrected within thirty (30) days of written notice requiring its correction; (b) in the case of the Originator, a failure to supply conforming units against accepted requisitions on three (3) or more occasions within any six (6) month period, or any single such failure persisting beyond forty-five (45) days; (c) in the case of the Channel Partner, a failure to discharge any undisputed sum within sixty (60) days of the due date; or (d) the appointment of a receiver, judicial manager or liquidator, the passing of a resolution for winding up, or entry into any arrangement with creditors generally.</w:t>
      </w:r>
    </w:p>
    <w:p>
      <w:pPr>
        <w:spacing w:after="120" w:before="0"/>
        <w:jc w:val="both"/>
      </w:pPr>
      <w:r>
        <w:rPr>
          <w:rFonts w:ascii="Times New Roman" w:hAnsi="Times New Roman"/>
          <w:b w:val="0"/>
          <w:i w:val="0"/>
          <w:strike w:val="0"/>
          <w:sz w:val="22"/>
          <w:u w:val="none"/>
        </w:rPr>
        <w:t>5.2</w:t>
        <w:tab/>
      </w:r>
      <w:r>
        <w:rPr>
          <w:rFonts w:ascii="Times New Roman" w:hAnsi="Times New Roman"/>
          <w:b w:val="0"/>
          <w:i w:val="0"/>
          <w:strike w:val="0"/>
          <w:sz w:val="22"/>
          <w:u w:val="none"/>
        </w:rPr>
        <w:t>Upon an Event of Non-Performance in respect of the Originator, the Channel Partner may, without prejudice to any other entitlement and without being obliged to bring this Deed to an end: (a) require the Originator to furnish a written correction programme within ten (10) business days and to carry it out at its own expense; (b) retain the consideration referable to the affected units until the matter is corrected; (c) for so long as the matter persists and for a reasonable period thereafter, procure equivalent units from any third person and recover the reasonable excess expense from the Originator, the restraint in clause 8 not applying to units so procured; and (d) deduct any sum owing to it under this clause from any sum otherwise falling due to the Originator.</w:t>
      </w:r>
    </w:p>
    <w:p>
      <w:pPr>
        <w:spacing w:after="120" w:before="0"/>
        <w:jc w:val="both"/>
      </w:pPr>
      <w:r>
        <w:rPr>
          <w:rFonts w:ascii="Times New Roman" w:hAnsi="Times New Roman"/>
          <w:b w:val="0"/>
          <w:i w:val="0"/>
          <w:strike w:val="0"/>
          <w:sz w:val="22"/>
          <w:u w:val="none"/>
        </w:rPr>
        <w:t>5.3</w:t>
        <w:tab/>
      </w:r>
      <w:r>
        <w:rPr>
          <w:rFonts w:ascii="Times New Roman" w:hAnsi="Times New Roman"/>
          <w:b w:val="0"/>
          <w:i w:val="0"/>
          <w:strike w:val="0"/>
          <w:sz w:val="22"/>
          <w:u w:val="none"/>
        </w:rPr>
        <w:t>Recourse to any entitlement under clause 5.2 shall not prejudice the Channel Partner's entitlement subsequently to bring this Deed to an end under clause 6.2, and no forbearance shall operate as a relinquishment.</w:t>
      </w:r>
    </w:p>
    <w:p>
      <w:pPr>
        <w:spacing w:after="80" w:before="0"/>
      </w:pPr>
      <w:r>
        <w:rPr>
          <w:rFonts w:ascii="Times New Roman" w:hAnsi="Times New Roman"/>
          <w:b/>
          <w:i w:val="0"/>
          <w:strike w:val="0"/>
          <w:sz w:val="22"/>
          <w:u w:val="none"/>
        </w:rPr>
        <w:t xml:space="preserve">6. </w:t>
      </w:r>
      <w:r>
        <w:rPr>
          <w:rFonts w:ascii="Times New Roman" w:hAnsi="Times New Roman"/>
          <w:b/>
          <w:i w:val="0"/>
          <w:strike w:val="0"/>
          <w:sz w:val="22"/>
          <w:u w:val="none"/>
        </w:rPr>
        <w:t>Committed Period, Cessation and Repurchase</w:t>
      </w:r>
    </w:p>
    <w:p>
      <w:pPr>
        <w:spacing w:after="120" w:before="0"/>
        <w:jc w:val="both"/>
      </w:pPr>
      <w:r>
        <w:rPr>
          <w:rFonts w:ascii="Times New Roman" w:hAnsi="Times New Roman"/>
          <w:b w:val="0"/>
          <w:i w:val="0"/>
          <w:strike w:val="0"/>
          <w:sz w:val="22"/>
          <w:u w:val="none"/>
        </w:rPr>
        <w:t>6.1</w:t>
        <w:tab/>
      </w:r>
      <w:r>
        <w:rPr>
          <w:rFonts w:ascii="Times New Roman" w:hAnsi="Times New Roman"/>
          <w:b w:val="0"/>
          <w:i w:val="0"/>
          <w:strike w:val="0"/>
          <w:sz w:val="22"/>
          <w:u w:val="none"/>
        </w:rPr>
        <w:t>This Deed takes effect on the Commencement Date and endures for an initial Committed Period of three (3) years, and thereafter for successive periods of twelve (12) months unless brought to an end under this clause 6.</w:t>
      </w:r>
    </w:p>
    <w:p>
      <w:pPr>
        <w:spacing w:after="120" w:before="0"/>
        <w:jc w:val="both"/>
      </w:pPr>
      <w:r>
        <w:rPr>
          <w:rFonts w:ascii="Times New Roman" w:hAnsi="Times New Roman"/>
          <w:b w:val="0"/>
          <w:i w:val="0"/>
          <w:strike w:val="0"/>
          <w:sz w:val="22"/>
          <w:u w:val="none"/>
        </w:rPr>
        <w:t>6.2</w:t>
        <w:tab/>
      </w:r>
      <w:r>
        <w:rPr>
          <w:rFonts w:ascii="Times New Roman" w:hAnsi="Times New Roman"/>
          <w:b w:val="0"/>
          <w:i w:val="0"/>
          <w:strike w:val="0"/>
          <w:sz w:val="22"/>
          <w:u w:val="none"/>
        </w:rPr>
        <w:t>Either party may bring this Deed to an end with immediate effect upon an Event of Non-Performance in respect of the other.</w:t>
      </w:r>
    </w:p>
    <w:p>
      <w:pPr>
        <w:spacing w:after="120" w:before="0"/>
        <w:jc w:val="both"/>
      </w:pPr>
      <w:r>
        <w:rPr>
          <w:rFonts w:ascii="Times New Roman" w:hAnsi="Times New Roman"/>
          <w:b w:val="0"/>
          <w:i w:val="0"/>
          <w:strike w:val="0"/>
          <w:sz w:val="22"/>
          <w:u w:val="none"/>
        </w:rPr>
        <w:t>6.3</w:t>
        <w:tab/>
      </w:r>
      <w:r>
        <w:rPr>
          <w:rFonts w:ascii="Times New Roman" w:hAnsi="Times New Roman"/>
          <w:b w:val="0"/>
          <w:i w:val="0"/>
          <w:strike w:val="0"/>
          <w:sz w:val="22"/>
          <w:u w:val="none"/>
        </w:rPr>
        <w:t>Either party may exercise a Discretionary Exit Right, bringing this Deed to an end for any reason or none upon twelve (12) months' written notice, provided that no notice given by the Originator may expire before the third anniversary of the Commencement Date.</w:t>
      </w:r>
    </w:p>
    <w:p>
      <w:pPr>
        <w:spacing w:after="120" w:before="0"/>
        <w:jc w:val="both"/>
      </w:pPr>
      <w:r>
        <w:rPr>
          <w:rFonts w:ascii="Times New Roman" w:hAnsi="Times New Roman"/>
          <w:b w:val="0"/>
          <w:i w:val="0"/>
          <w:strike w:val="0"/>
          <w:sz w:val="22"/>
          <w:u w:val="none"/>
        </w:rPr>
        <w:t>6.4</w:t>
        <w:tab/>
      </w:r>
      <w:r>
        <w:rPr>
          <w:rFonts w:ascii="Times New Roman" w:hAnsi="Times New Roman"/>
          <w:b w:val="0"/>
          <w:i w:val="0"/>
          <w:strike w:val="0"/>
          <w:sz w:val="22"/>
          <w:u w:val="none"/>
        </w:rPr>
        <w:t>Upon cessation for any reason the Originator shall take back every unsold unit then held by the Channel Partner which remains in merchantable condition and within its stated life, at the consideration paid by the Channel Partner less any credit already extended and less a handling deduction of ten per cent (10%), together with reasonable carriage and insurance. Where the Channel Partner has brought this Deed to an end upon an Event of Non-Performance of the Originator, no handling deduction shall be applied. Payment shall be made within thirty (30) days of collection, and the Channel Partner may retain and continue to supply the units until payment is received in full.</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Marks and Accrued Reputation</w:t>
      </w:r>
    </w:p>
    <w:p>
      <w:pPr>
        <w:spacing w:after="160" w:before="0"/>
        <w:jc w:val="both"/>
      </w:pPr>
      <w:r>
        <w:rPr>
          <w:rFonts w:ascii="Times New Roman" w:hAnsi="Times New Roman"/>
          <w:b w:val="0"/>
          <w:i w:val="0"/>
          <w:strike w:val="0"/>
          <w:sz w:val="22"/>
          <w:u w:val="none"/>
        </w:rPr>
        <w:t>The Channel Partner shall employ the Originator's marks solely in relation to the Range and in conformity with the Originator's reasonable written directions, and all reputation accruing from that employment enures to the Originator.</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Restraint on Parallel Ranges</w:t>
      </w:r>
    </w:p>
    <w:p>
      <w:pPr>
        <w:spacing w:after="160" w:before="0"/>
        <w:jc w:val="both"/>
      </w:pPr>
      <w:r>
        <w:rPr>
          <w:rFonts w:ascii="Times New Roman" w:hAnsi="Times New Roman"/>
          <w:b w:val="0"/>
          <w:i w:val="0"/>
          <w:strike w:val="0"/>
          <w:sz w:val="22"/>
          <w:u w:val="none"/>
        </w:rPr>
        <w:t>For the duration of the Committed Period the Channel Partner shall not supply within the Zone any range which directly competes with the Range, save as permitted by clause 5.2(c) and save for the ranges identified in the Commercial Annexe. This clause imposes no restraint following cessation.</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Applicable Law and Resolution of Differences</w:t>
      </w:r>
    </w:p>
    <w:p>
      <w:pPr>
        <w:spacing w:after="160" w:before="0"/>
        <w:jc w:val="both"/>
      </w:pPr>
      <w:r>
        <w:rPr>
          <w:rFonts w:ascii="Times New Roman" w:hAnsi="Times New Roman"/>
          <w:b w:val="0"/>
          <w:i w:val="0"/>
          <w:strike w:val="0"/>
          <w:sz w:val="22"/>
          <w:u w:val="none"/>
        </w:rPr>
        <w:t>This Deed is governed by the laws of Singapore. Any difference arising out of or in connection with this Deed shall be referred to and conclusively determined by arbitration administered by the Singapore International Arbitration Centre in accordance with its Arbitration Rules for the time being in force, seated in Singapore, conducted in English, before one (1) arbitrator.</w:t>
      </w:r>
    </w:p>
    <w:p>
      <w:pPr>
        <w:spacing w:after="120" w:before="0"/>
      </w:pPr>
    </w:p>
    <w:p>
      <w:pPr>
        <w:spacing w:after="200" w:before="0"/>
      </w:pPr>
      <w:r>
        <w:rPr>
          <w:rFonts w:ascii="Times New Roman" w:hAnsi="Times New Roman"/>
          <w:b/>
          <w:i w:val="0"/>
          <w:strike w:val="0"/>
          <w:sz w:val="22"/>
          <w:u w:val="none"/>
        </w:rPr>
        <w:t>EXECUTED as a deed on 24 February 2026.</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