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jc w:val="center"/>
      </w:pPr>
      <w:r>
        <w:rPr>
          <w:rFonts w:ascii="Times New Roman" w:hAnsi="Times New Roman"/>
          <w:b/>
          <w:i w:val="0"/>
          <w:strike w:val="0"/>
          <w:sz w:val="26"/>
          <w:u w:val="none"/>
        </w:rPr>
        <w:t>WEE CORPORATE LAW LLC</w:t>
      </w:r>
    </w:p>
    <w:p>
      <w:pPr>
        <w:spacing w:after="120" w:before="0"/>
        <w:jc w:val="center"/>
      </w:pPr>
      <w:r>
        <w:rPr>
          <w:rFonts w:ascii="Times New Roman" w:hAnsi="Times New Roman"/>
          <w:b/>
          <w:i w:val="0"/>
          <w:strike w:val="0"/>
          <w:sz w:val="26"/>
          <w:u w:val="none"/>
        </w:rPr>
        <w:t>KNOWLEDGE NOTE — VOCABULARY MAPPING</w:t>
      </w:r>
    </w:p>
    <w:p>
      <w:pPr>
        <w:spacing w:after="120" w:before="0"/>
      </w:pPr>
    </w:p>
    <w:p>
      <w:pPr>
        <w:spacing w:after="40" w:before="0"/>
      </w:pPr>
      <w:r>
        <w:rPr>
          <w:rFonts w:ascii="Times New Roman" w:hAnsi="Times New Roman"/>
          <w:b/>
          <w:i w:val="0"/>
          <w:strike w:val="0"/>
          <w:sz w:val="22"/>
          <w:u w:val="none"/>
        </w:rPr>
        <w:t>Matter: MAT-2026-0654 — Solstice Instruments / Aurelian Scientific</w:t>
      </w:r>
    </w:p>
    <w:p>
      <w:pPr>
        <w:spacing w:after="40" w:before="0"/>
      </w:pPr>
      <w:r>
        <w:rPr>
          <w:rFonts w:ascii="Times New Roman" w:hAnsi="Times New Roman"/>
          <w:b w:val="0"/>
          <w:i w:val="0"/>
          <w:strike w:val="0"/>
          <w:sz w:val="22"/>
          <w:u w:val="none"/>
        </w:rPr>
        <w:t>From: R. Chandran</w:t>
      </w:r>
    </w:p>
    <w:p>
      <w:pPr>
        <w:spacing w:after="40" w:before="0"/>
      </w:pPr>
      <w:r>
        <w:rPr>
          <w:rFonts w:ascii="Times New Roman" w:hAnsi="Times New Roman"/>
          <w:b w:val="0"/>
          <w:i w:val="0"/>
          <w:strike w:val="0"/>
          <w:sz w:val="22"/>
          <w:u w:val="none"/>
        </w:rPr>
        <w:t>To: Knowledge file</w:t>
      </w:r>
    </w:p>
    <w:p>
      <w:pPr>
        <w:spacing w:after="40" w:before="0"/>
      </w:pPr>
      <w:r>
        <w:rPr>
          <w:rFonts w:ascii="Times New Roman" w:hAnsi="Times New Roman"/>
          <w:b w:val="0"/>
          <w:i w:val="0"/>
          <w:strike w:val="0"/>
          <w:sz w:val="22"/>
          <w:u w:val="none"/>
        </w:rPr>
        <w:t>Date: 26 February 2026</w:t>
      </w:r>
    </w:p>
    <w:p>
      <w:pPr>
        <w:spacing w:after="120" w:before="0"/>
      </w:pPr>
    </w:p>
    <w:p>
      <w:pPr>
        <w:spacing w:after="120" w:before="0"/>
        <w:jc w:val="both"/>
      </w:pPr>
      <w:r>
        <w:rPr>
          <w:rFonts w:ascii="Times New Roman" w:hAnsi="Times New Roman"/>
          <w:b w:val="0"/>
          <w:i w:val="0"/>
          <w:strike w:val="0"/>
          <w:sz w:val="22"/>
          <w:u w:val="none"/>
        </w:rPr>
        <w:t>Recorded at JW's direction. The Channel Partner Framework Deed executed on 24 February 2026 is, in substance, an exclusive distributorship agreement drafted from the distributor's side. It uses none of the terminology we or anyone else would search for, and on its own it is effectively invisible in our system. The mapping is as follows.</w:t>
      </w:r>
    </w:p>
    <w:p>
      <w:pPr>
        <w:spacing w:after="120" w:before="0"/>
        <w:jc w:val="both"/>
      </w:pPr>
      <w:r>
        <w:rPr>
          <w:rFonts w:ascii="Times New Roman" w:hAnsi="Times New Roman"/>
          <w:b w:val="0"/>
          <w:i w:val="0"/>
          <w:strike w:val="0"/>
          <w:sz w:val="22"/>
          <w:u w:val="none"/>
        </w:rPr>
        <w:t>"Channel Primacy" (clause 1) is an exclusivity clause, and clauses 1.2 and 1.3 are the undertaking-based formulation with a liquidated margin recovery. "Financial Limits" (clause 3) is a limitation of liability clause; clause 3.2 is the direct-loss carve-out list. "Hold Harmless Undertaking" (clause 4) is the indemnity, and clause 4.1 is the product liability indemnity. "Events of Non-Performance" (clause 5) is the default clause, and clause 5.2 is the remedial ladder — correction programme, withholding, substitute sourcing, set-off. "Discretionary Exit Right" (clause 6.3) is termination for convenience. Clause 6.4 is a stock buy-back. "Restraint on Parallel Ranges" (clause 8) is the non-competition clause.</w:t>
      </w:r>
    </w:p>
    <w:p>
      <w:pPr>
        <w:spacing w:after="120" w:before="0"/>
        <w:jc w:val="both"/>
      </w:pPr>
      <w:r>
        <w:rPr>
          <w:rFonts w:ascii="Times New Roman" w:hAnsi="Times New Roman"/>
          <w:b w:val="0"/>
          <w:i w:val="0"/>
          <w:strike w:val="0"/>
          <w:sz w:val="22"/>
          <w:u w:val="none"/>
        </w:rPr>
        <w:t>Further vocabulary: "Originator" is the supplier; "Channel Partner" is the distributor; "the Range" is the Products; "the Zone" is the Territory; "Committed Period" is the Term; "Reference Year" is the Contract Year; "units" are the Products; "consideration" is the price; "exposure" is liability; "remote or collateral" is indirect or consequential; "immediate consequence" is direct loss; "requisitions" are orders; "cessation" is termination.</w:t>
      </w:r>
    </w:p>
    <w:p>
      <w:pPr>
        <w:spacing w:after="120" w:before="0"/>
        <w:jc w:val="both"/>
      </w:pPr>
      <w:r>
        <w:rPr>
          <w:rFonts w:ascii="Times New Roman" w:hAnsi="Times New Roman"/>
          <w:b w:val="0"/>
          <w:i w:val="0"/>
          <w:strike w:val="0"/>
          <w:sz w:val="22"/>
          <w:u w:val="none"/>
        </w:rPr>
        <w:t>The substance is materially the same as the distributor-side form we later executed for Meridian Retail Concepts (MAT-2026-0631), and the two should be read together. Anyone searching for a distributorship precedent, an exclusivity clause, a product liability indemnity, a default ladder or a termination for convenience right should be shown this deed notwithstanding that it contains none of those words.</w:t>
      </w:r>
    </w:p>
    <w:sectPr w:rsidR="00FC693F" w:rsidRPr="0006063C"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