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b/>
          <w:i/>
          <w:strike w:val="0"/>
          <w:sz w:val="20"/>
          <w:u w:val="none"/>
        </w:rPr>
        <w:t>FIRST DRAFT — CIRCULATED FOR PARTNER REVIEW 19 MAY 2026 — NOT FOR ONWARD CIRCULATION</w:t>
      </w:r>
    </w:p>
    <w:p>
      <w:pPr>
        <w:spacing w:after="120" w:before="0"/>
        <w:jc w:val="center"/>
      </w:pPr>
      <w:r>
        <w:rPr>
          <w:rFonts w:ascii="Times New Roman" w:hAnsi="Times New Roman"/>
          <w:b/>
          <w:i w:val="0"/>
          <w:strike w:val="0"/>
          <w:sz w:val="26"/>
          <w:u w:val="none"/>
        </w:rPr>
        <w:t>MASTER SERVICES AGREEMENT</w:t>
      </w:r>
    </w:p>
    <w:p>
      <w:pPr>
        <w:spacing w:after="120" w:before="0"/>
        <w:jc w:val="center"/>
      </w:pPr>
      <w:r>
        <w:rPr>
          <w:rFonts w:ascii="Times New Roman" w:hAnsi="Times New Roman"/>
          <w:b w:val="0"/>
          <w:i/>
          <w:strike w:val="0"/>
          <w:sz w:val="22"/>
          <w:u w:val="none"/>
        </w:rPr>
        <w:t>between</w:t>
      </w:r>
    </w:p>
    <w:p>
      <w:pPr>
        <w:spacing w:after="120" w:before="0"/>
        <w:jc w:val="center"/>
      </w:pPr>
      <w:r>
        <w:rPr>
          <w:rFonts w:ascii="Times New Roman" w:hAnsi="Times New Roman"/>
          <w:b/>
          <w:i w:val="0"/>
          <w:strike w:val="0"/>
          <w:sz w:val="26"/>
          <w:u w:val="none"/>
        </w:rPr>
        <w:t>HELIX DATA SYSTEMS PTE. LTD. and ORBITAL COMPUTE PTE. LTD.</w:t>
      </w:r>
    </w:p>
    <w:p>
      <w:pPr>
        <w:spacing w:after="120" w:before="0"/>
      </w:pPr>
    </w:p>
    <w:p>
      <w:pPr>
        <w:spacing w:after="120" w:before="0"/>
        <w:jc w:val="both"/>
      </w:pPr>
      <w:r>
        <w:rPr>
          <w:rFonts w:ascii="Times New Roman" w:hAnsi="Times New Roman"/>
          <w:b w:val="0"/>
          <w:i w:val="0"/>
          <w:strike w:val="0"/>
          <w:sz w:val="22"/>
          <w:u w:val="none"/>
        </w:rPr>
        <w:t>Parties: (1) Helix Data Systems Pte. Ltd. (Company Registration No. 201644903H) (the "Customer"); and (2) Orbital Compute Pte. Ltd. (Company Registration No. 202188017C) (the "Supplier").</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Services</w:t>
      </w:r>
    </w:p>
    <w:p>
      <w:pPr>
        <w:spacing w:after="160" w:before="0"/>
        <w:jc w:val="both"/>
      </w:pPr>
      <w:r>
        <w:rPr>
          <w:rFonts w:ascii="Times New Roman" w:hAnsi="Times New Roman"/>
          <w:b w:val="0"/>
          <w:i w:val="0"/>
          <w:strike w:val="0"/>
          <w:sz w:val="22"/>
          <w:u w:val="none"/>
        </w:rPr>
        <w:t>The Supplier shall provide the services described in each Statement of Work (the "Services") in accordance with this Agreement, the service levels in Schedule 2, and all applicable laws. Each Statement of Work forms part of this Agreement, and in the event of conflict this Agreement prevails unless the Statement of Work expressly identifies the clause it varies.</w:t>
      </w:r>
    </w:p>
    <w:p>
      <w:pPr>
        <w:spacing w:after="80" w:before="0"/>
      </w:pPr>
      <w:r>
        <w:rPr>
          <w:rFonts w:ascii="Times New Roman" w:hAnsi="Times New Roman"/>
          <w:b/>
          <w:i w:val="0"/>
          <w:strike w:val="0"/>
          <w:sz w:val="22"/>
          <w:u w:val="none"/>
        </w:rPr>
        <w:t xml:space="preserve">2. </w:t>
      </w:r>
      <w:r>
        <w:rPr>
          <w:rFonts w:ascii="Times New Roman" w:hAnsi="Times New Roman"/>
          <w:b/>
          <w:i w:val="0"/>
          <w:strike w:val="0"/>
          <w:sz w:val="22"/>
          <w:u w:val="none"/>
        </w:rPr>
        <w:t>Limitation of Liability</w:t>
      </w:r>
    </w:p>
    <w:p>
      <w:pPr>
        <w:spacing w:after="40" w:before="0"/>
        <w:jc w:val="both"/>
      </w:pPr>
      <w:r>
        <w:rPr>
          <w:rFonts w:ascii="Times New Roman" w:hAnsi="Times New Roman"/>
          <w:b w:val="0"/>
          <w:i w:val="0"/>
          <w:strike/>
          <w:sz w:val="22"/>
          <w:u w:val="none"/>
        </w:rPr>
        <w:t>Neither party's total liability under this Agreement shall exceed the total fees paid in the twelve (12) months preceding the claim.</w:t>
      </w:r>
    </w:p>
    <w:p>
      <w:pPr>
        <w:spacing w:after="40" w:before="0"/>
        <w:jc w:val="both"/>
      </w:pPr>
      <w:r>
        <w:rPr>
          <w:rFonts w:ascii="Times New Roman" w:hAnsi="Times New Roman"/>
          <w:b w:val="0"/>
          <w:i w:val="0"/>
          <w:strike w:val="0"/>
          <w:sz w:val="22"/>
          <w:u w:val="single"/>
        </w:rPr>
        <w:t>Subject to clauses 2.3 and 2.4, each party's total aggregate liability arising out of or in connection with this Agreement, whether in contract, tort (including negligence), breach of statutory duty or otherwise, shall not exceed one hundred and fifty per cent (150%) of the total Charges paid or payable in the twelve (12) months immediately preceding the event giving rise to the claim.</w:t>
      </w:r>
    </w:p>
    <w:p>
      <w:pPr>
        <w:spacing w:after="120" w:before="0"/>
        <w:jc w:val="both"/>
      </w:pPr>
      <w:r>
        <w:rPr>
          <w:rFonts w:ascii="Times New Roman" w:hAnsi="Times New Roman"/>
          <w:b w:val="0"/>
          <w:i w:val="0"/>
          <w:strike w:val="0"/>
          <w:sz w:val="22"/>
          <w:u w:val="none"/>
        </w:rPr>
        <w:t>2.2</w:t>
        <w:tab/>
      </w:r>
      <w:r>
        <w:rPr>
          <w:rFonts w:ascii="Times New Roman" w:hAnsi="Times New Roman"/>
          <w:b w:val="0"/>
          <w:i w:val="0"/>
          <w:strike w:val="0"/>
          <w:sz w:val="22"/>
          <w:u w:val="none"/>
        </w:rPr>
        <w:t>Neither party shall be liable for any loss of profit, loss of anticipated savings or loss of business opportunity to the extent that such loss is indirect or consequential, provided that this clause does not exclude any such loss arising as a direct loss.</w:t>
      </w:r>
    </w:p>
    <w:p>
      <w:pPr>
        <w:spacing w:after="120" w:before="0"/>
        <w:jc w:val="both"/>
      </w:pPr>
      <w:r>
        <w:rPr>
          <w:rFonts w:ascii="Times New Roman" w:hAnsi="Times New Roman"/>
          <w:b w:val="0"/>
          <w:i w:val="0"/>
          <w:strike w:val="0"/>
          <w:sz w:val="22"/>
          <w:u w:val="none"/>
        </w:rPr>
        <w:t>2.3</w:t>
        <w:tab/>
      </w:r>
      <w:r>
        <w:rPr>
          <w:rFonts w:ascii="Times New Roman" w:hAnsi="Times New Roman"/>
          <w:b w:val="0"/>
          <w:i w:val="0"/>
          <w:strike w:val="0"/>
          <w:sz w:val="22"/>
          <w:u w:val="none"/>
        </w:rPr>
        <w:t>The Supplier's aggregate liability for breach of clause 6 (Data Protection), or for any unauthorised access to, or loss, corruption or disclosure of, Customer Data, shall not exceed three hundred per cent (300%) of the Charges paid or payable in the preceding twelve (12) months (the "Data Super-Cap"), which is separate from and additional to the cap in clause 2.1.</w:t>
      </w:r>
    </w:p>
    <w:p>
      <w:pPr>
        <w:spacing w:after="120" w:before="0"/>
        <w:jc w:val="both"/>
      </w:pPr>
      <w:r>
        <w:rPr>
          <w:rFonts w:ascii="Times New Roman" w:hAnsi="Times New Roman"/>
          <w:b w:val="0"/>
          <w:i w:val="0"/>
          <w:strike w:val="0"/>
          <w:sz w:val="22"/>
          <w:u w:val="none"/>
        </w:rPr>
        <w:t>2.4</w:t>
        <w:tab/>
      </w:r>
      <w:r>
        <w:rPr>
          <w:rFonts w:ascii="Times New Roman" w:hAnsi="Times New Roman"/>
          <w:b w:val="0"/>
          <w:i w:val="0"/>
          <w:strike w:val="0"/>
          <w:sz w:val="22"/>
          <w:u w:val="none"/>
        </w:rPr>
        <w:t>Nothing limits liability for death or personal injury caused by negligence, for fraud, for any liability which cannot lawfully be limited, or for the Supplier's liability under the indemnity in clause 3.1.</w:t>
      </w:r>
    </w:p>
    <w:p>
      <w:pPr>
        <w:spacing w:after="200" w:before="0"/>
      </w:pPr>
      <w:r>
        <w:rPr>
          <w:rFonts w:ascii="Times New Roman" w:hAnsi="Times New Roman"/>
          <w:b/>
          <w:i/>
          <w:strike w:val="0"/>
          <w:sz w:val="20"/>
          <w:u w:val="none"/>
        </w:rPr>
        <w:t xml:space="preserve">Comment [J. Wee, 21 May]: </w:t>
      </w:r>
      <w:r>
        <w:rPr>
          <w:rFonts w:ascii="Times New Roman" w:hAnsi="Times New Roman"/>
          <w:b w:val="0"/>
          <w:i/>
          <w:strike w:val="0"/>
          <w:sz w:val="20"/>
          <w:u w:val="none"/>
        </w:rPr>
        <w:t>The struck version is the vendor's own cap and it is the whole problem — a single blended cap at 100% of fees means a data breach that costs the client its PDPA exposure and its customer base is compensated at the price of the service. Note 2.2 deliberately does not exclude direct loss of profit; on a services contract of this kind direct loss of profit is often the client's only real loss.</w:t>
      </w:r>
    </w:p>
    <w:p>
      <w:pPr>
        <w:spacing w:after="80" w:before="0"/>
      </w:pPr>
      <w:r>
        <w:rPr>
          <w:rFonts w:ascii="Times New Roman" w:hAnsi="Times New Roman"/>
          <w:b/>
          <w:i w:val="0"/>
          <w:strike w:val="0"/>
          <w:sz w:val="22"/>
          <w:u w:val="none"/>
        </w:rPr>
        <w:t xml:space="preserve">3. </w:t>
      </w:r>
      <w:r>
        <w:rPr>
          <w:rFonts w:ascii="Times New Roman" w:hAnsi="Times New Roman"/>
          <w:b/>
          <w:i w:val="0"/>
          <w:strike w:val="0"/>
          <w:sz w:val="22"/>
          <w:u w:val="none"/>
        </w:rPr>
        <w:t>Indemnities</w:t>
      </w:r>
    </w:p>
    <w:p>
      <w:pPr>
        <w:spacing w:after="120" w:before="0"/>
        <w:jc w:val="both"/>
      </w:pPr>
      <w:r>
        <w:rPr>
          <w:rFonts w:ascii="Times New Roman" w:hAnsi="Times New Roman"/>
          <w:b w:val="0"/>
          <w:i w:val="0"/>
          <w:strike w:val="0"/>
          <w:sz w:val="22"/>
          <w:u w:val="none"/>
        </w:rPr>
        <w:t>3.1</w:t>
        <w:tab/>
      </w:r>
      <w:r>
        <w:rPr>
          <w:rFonts w:ascii="Times New Roman" w:hAnsi="Times New Roman"/>
          <w:b w:val="0"/>
          <w:i w:val="0"/>
          <w:strike w:val="0"/>
          <w:sz w:val="22"/>
          <w:u w:val="none"/>
        </w:rPr>
        <w:t>The Supplier shall indemnify the Customer against all losses, damages, costs and expenses (including reasonable legal costs) arising out of any claim that the Services, or the Customer's receipt or use of them in accordance with this Agreement, infringe the intellectual property rights of any third party.</w:t>
      </w:r>
    </w:p>
    <w:p>
      <w:pPr>
        <w:spacing w:after="120" w:before="0"/>
        <w:jc w:val="both"/>
      </w:pPr>
      <w:r>
        <w:rPr>
          <w:rFonts w:ascii="Times New Roman" w:hAnsi="Times New Roman"/>
          <w:b w:val="0"/>
          <w:i w:val="0"/>
          <w:strike w:val="0"/>
          <w:sz w:val="22"/>
          <w:u w:val="none"/>
        </w:rPr>
        <w:t>3.2</w:t>
        <w:tab/>
      </w:r>
      <w:r>
        <w:rPr>
          <w:rFonts w:ascii="Times New Roman" w:hAnsi="Times New Roman"/>
          <w:b w:val="0"/>
          <w:i w:val="0"/>
          <w:strike w:val="0"/>
          <w:sz w:val="22"/>
          <w:u w:val="none"/>
        </w:rPr>
        <w:t>The Supplier shall indemnify the Customer against any fine, penalty or enforcement action imposed on the Customer by a competent regulatory authority to the extent arising from the Supplier's breach of clause 6 or of applicable data protection law.</w:t>
      </w:r>
    </w:p>
    <w:p>
      <w:pPr>
        <w:spacing w:after="40" w:before="0"/>
        <w:jc w:val="both"/>
      </w:pPr>
      <w:r>
        <w:rPr>
          <w:rFonts w:ascii="Times New Roman" w:hAnsi="Times New Roman"/>
          <w:b w:val="0"/>
          <w:i w:val="0"/>
          <w:strike w:val="0"/>
          <w:sz w:val="22"/>
          <w:u w:val="none"/>
        </w:rPr>
        <w:t>3.3</w:t>
        <w:tab/>
      </w:r>
      <w:r>
        <w:rPr>
          <w:rFonts w:ascii="Times New Roman" w:hAnsi="Times New Roman"/>
          <w:b w:val="0"/>
          <w:i w:val="0"/>
          <w:strike/>
          <w:sz w:val="22"/>
          <w:u w:val="none"/>
        </w:rPr>
        <w:t>The Customer shall indemnify the Supplier against all claims arising from the Customer's use of the Services.</w:t>
      </w:r>
      <w:r>
        <w:rPr>
          <w:rFonts w:ascii="Times New Roman" w:hAnsi="Times New Roman"/>
          <w:b w:val="0"/>
          <w:i w:val="0"/>
          <w:strike w:val="0"/>
          <w:sz w:val="22"/>
          <w:u w:val="none"/>
        </w:rPr>
        <w:t xml:space="preserve"> </w:t>
      </w:r>
      <w:r>
        <w:rPr>
          <w:rFonts w:ascii="Times New Roman" w:hAnsi="Times New Roman"/>
          <w:b w:val="0"/>
          <w:i w:val="0"/>
          <w:strike w:val="0"/>
          <w:sz w:val="22"/>
          <w:u w:val="single"/>
        </w:rPr>
        <w:t>The Customer shall indemnify the Supplier against any claim that Customer Data supplied by the Customer infringes the intellectual property rights of a third party, save to the extent the claim arises from the Supplier's processing of that data otherwise than in accordance with this Agreement.</w:t>
      </w:r>
    </w:p>
    <w:p>
      <w:pPr>
        <w:spacing w:after="200" w:before="0"/>
      </w:pPr>
      <w:r>
        <w:rPr>
          <w:rFonts w:ascii="Times New Roman" w:hAnsi="Times New Roman"/>
          <w:b/>
          <w:i/>
          <w:strike w:val="0"/>
          <w:sz w:val="20"/>
          <w:u w:val="none"/>
        </w:rPr>
        <w:t xml:space="preserve">Comment [J. Wee, 21 May]: </w:t>
      </w:r>
      <w:r>
        <w:rPr>
          <w:rFonts w:ascii="Times New Roman" w:hAnsi="Times New Roman"/>
          <w:b w:val="0"/>
          <w:i/>
          <w:strike w:val="0"/>
          <w:sz w:val="20"/>
          <w:u w:val="none"/>
        </w:rPr>
        <w:t>3.3 as first drafted was a blank cheque running the wrong way — it would have indemnified the Supplier against the consequences of its own defective service. Narrow it to what the Customer actually controls.</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Default</w:t>
      </w:r>
    </w:p>
    <w:p>
      <w:pPr>
        <w:spacing w:after="40" w:before="0"/>
        <w:jc w:val="both"/>
      </w:pPr>
      <w:r>
        <w:rPr>
          <w:rFonts w:ascii="Times New Roman" w:hAnsi="Times New Roman"/>
          <w:b w:val="0"/>
          <w:i w:val="0"/>
          <w:strike/>
          <w:sz w:val="22"/>
          <w:u w:val="none"/>
        </w:rPr>
        <w:t>If either party is in default, the other may terminate this Agreement on notice.</w:t>
      </w:r>
    </w:p>
    <w:p>
      <w:pPr>
        <w:spacing w:after="40" w:before="0"/>
        <w:jc w:val="both"/>
      </w:pPr>
      <w:r>
        <w:rPr>
          <w:rFonts w:ascii="Times New Roman" w:hAnsi="Times New Roman"/>
          <w:b w:val="0"/>
          <w:i w:val="0"/>
          <w:strike w:val="0"/>
          <w:sz w:val="22"/>
          <w:u w:val="single"/>
        </w:rPr>
        <w:t>Each of the following constitutes an "Event of Default" in respect of a party: (a) a material breach of this Agreement which is not remediable, or which is remediable and is not remedied within thirty (30) days of written notice; (b) a failure to meet the same service level in three (3) consecutive months; (c) the appointment of a receiver, judicial manager or liquidator, the passing of a resolution for winding up, or the entry into any composition or arrangement with creditors; or (d) any change of control of the Supplier to a competitor of the Customer without the Customer's prior written consent.</w:t>
      </w:r>
    </w:p>
    <w:p>
      <w:pPr>
        <w:spacing w:after="120" w:before="0"/>
        <w:jc w:val="both"/>
      </w:pPr>
      <w:r>
        <w:rPr>
          <w:rFonts w:ascii="Times New Roman" w:hAnsi="Times New Roman"/>
          <w:b w:val="0"/>
          <w:i w:val="0"/>
          <w:strike w:val="0"/>
          <w:sz w:val="22"/>
          <w:u w:val="none"/>
        </w:rPr>
        <w:t>4.2</w:t>
        <w:tab/>
      </w:r>
      <w:r>
        <w:rPr>
          <w:rFonts w:ascii="Times New Roman" w:hAnsi="Times New Roman"/>
          <w:b w:val="0"/>
          <w:i w:val="0"/>
          <w:strike w:val="0"/>
          <w:sz w:val="22"/>
          <w:u w:val="none"/>
        </w:rPr>
        <w:t>On the occurrence of an Event of Default in respect of the Supplier, the Customer may, without prejudice to any other right and without any obligation to terminate: (a) require the Supplier to submit a written rectification plan within ten (10) business days and to implement it at its own cost; (b) withhold payment of the Charges attributable to the affected Services until the default is remedied; (c) procure the affected Services from a third party and recover the reasonable additional cost of doing so from the Supplier as a debt; and (d) set off any sum due to it under this clause against any sum otherwise payable to the Supplier.</w:t>
      </w:r>
    </w:p>
    <w:p>
      <w:pPr>
        <w:spacing w:after="120" w:before="0"/>
        <w:jc w:val="both"/>
      </w:pPr>
      <w:r>
        <w:rPr>
          <w:rFonts w:ascii="Times New Roman" w:hAnsi="Times New Roman"/>
          <w:b w:val="0"/>
          <w:i w:val="0"/>
          <w:strike w:val="0"/>
          <w:sz w:val="22"/>
          <w:u w:val="none"/>
        </w:rPr>
        <w:t>4.3</w:t>
        <w:tab/>
      </w:r>
      <w:r>
        <w:rPr>
          <w:rFonts w:ascii="Times New Roman" w:hAnsi="Times New Roman"/>
          <w:b w:val="0"/>
          <w:i w:val="0"/>
          <w:strike w:val="0"/>
          <w:sz w:val="22"/>
          <w:u w:val="none"/>
        </w:rPr>
        <w:t>The exercise of any remedy in clause 4.2 shall not prejudice the Customer's right subsequently to terminate under clause 5, and no delay in exercising any right under this clause 4 shall operate as a waiver of it.</w:t>
      </w:r>
    </w:p>
    <w:p>
      <w:pPr>
        <w:spacing w:after="200" w:before="0"/>
      </w:pPr>
      <w:r>
        <w:rPr>
          <w:rFonts w:ascii="Times New Roman" w:hAnsi="Times New Roman"/>
          <w:b/>
          <w:i/>
          <w:strike w:val="0"/>
          <w:sz w:val="20"/>
          <w:u w:val="none"/>
        </w:rPr>
        <w:t xml:space="preserve">Comment [J. Wee, 21 May]: </w:t>
      </w:r>
      <w:r>
        <w:rPr>
          <w:rFonts w:ascii="Times New Roman" w:hAnsi="Times New Roman"/>
          <w:b w:val="0"/>
          <w:i/>
          <w:strike w:val="0"/>
          <w:sz w:val="20"/>
          <w:u w:val="none"/>
        </w:rPr>
        <w:t>One line is not a default clause. Termination is a remedy the client can only use once and will not want to use at all mid-migration. The value is in the intermediate steps — rectification plan, withholding, step-in at the supplier's cost, and set-off. Expect (d) in 4.1 to be resisted; hold it, the client cannot have its core infrastructure sold to a competitor without a say.</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Termination for Convenience</w:t>
      </w:r>
    </w:p>
    <w:p>
      <w:pPr>
        <w:spacing w:after="160" w:before="0"/>
        <w:jc w:val="both"/>
      </w:pPr>
      <w:r>
        <w:rPr>
          <w:rFonts w:ascii="Times New Roman" w:hAnsi="Times New Roman"/>
          <w:b w:val="0"/>
          <w:i w:val="0"/>
          <w:strike w:val="0"/>
          <w:sz w:val="22"/>
          <w:u w:val="none"/>
        </w:rPr>
        <w:t>The Customer may terminate this Agreement or any Statement of Work for convenience on six (6) months' written notice, without any early termination charge, liquidated sum or other payment save for Charges accrued to the effective date of termination.</w:t>
      </w:r>
    </w:p>
    <w:p>
      <w:pPr>
        <w:spacing w:after="80" w:before="0"/>
      </w:pPr>
      <w:r>
        <w:rPr>
          <w:rFonts w:ascii="Times New Roman" w:hAnsi="Times New Roman"/>
          <w:b/>
          <w:i w:val="0"/>
          <w:strike w:val="0"/>
          <w:sz w:val="22"/>
          <w:u w:val="none"/>
        </w:rPr>
        <w:t xml:space="preserve">6. </w:t>
      </w:r>
      <w:r>
        <w:rPr>
          <w:rFonts w:ascii="Times New Roman" w:hAnsi="Times New Roman"/>
          <w:b/>
          <w:i w:val="0"/>
          <w:strike w:val="0"/>
          <w:sz w:val="22"/>
          <w:u w:val="none"/>
        </w:rPr>
        <w:t>Data Protection</w:t>
      </w:r>
    </w:p>
    <w:p>
      <w:pPr>
        <w:spacing w:after="120" w:before="0"/>
        <w:jc w:val="both"/>
      </w:pPr>
      <w:r>
        <w:rPr>
          <w:rFonts w:ascii="Times New Roman" w:hAnsi="Times New Roman"/>
          <w:b w:val="0"/>
          <w:i w:val="0"/>
          <w:strike w:val="0"/>
          <w:sz w:val="22"/>
          <w:u w:val="none"/>
        </w:rPr>
        <w:t>The Supplier shall process Customer Data only on the Customer's documented instructions, shall maintain appropriate technical and organisational measures, shall impose equivalent obligations on any sub-processor, and shall notify the Customer within twenty-four (24) hours of becoming aware of any breach affecting Customer Data. The Supplier shall comply with the Personal Data Protection Act 2012.</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Governing Law and Dispute Resolution</w:t>
      </w:r>
    </w:p>
    <w:p>
      <w:pPr>
        <w:spacing w:after="160" w:before="0"/>
        <w:jc w:val="both"/>
      </w:pPr>
      <w:r>
        <w:rPr>
          <w:rFonts w:ascii="Times New Roman" w:hAnsi="Times New Roman"/>
          <w:b w:val="0"/>
          <w:i w:val="0"/>
          <w:strike w:val="0"/>
          <w:sz w:val="22"/>
          <w:u w:val="none"/>
        </w:rPr>
        <w:t>This Agreement is governed by the laws of Singapore. Any dispute shall be referred to and finally resolved by arbitration administered by the Singapore International Arbitration Centre in accordance with its Arbitration Rules for the time being in force, seated in Singapore, in English, before one (1) arbitrator.</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