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/>
          <w:b/>
          <w:i/>
          <w:strike w:val="0"/>
          <w:sz w:val="20"/>
          <w:u w:val="none"/>
        </w:rPr>
        <w:t>REDLINED — MARKUP RECEIVED FROM ORBITAL COMPUTE'S COUNSEL (LEE &amp;amp; PARTNERS LLP), 3 JUNE 2026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MASTER SERVICES AGREEMENT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2.3.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Data Super-Cap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...shall not exceed </w:t>
      </w:r>
      <w:r>
        <w:rPr>
          <w:rFonts w:ascii="Times New Roman" w:hAnsi="Times New Roman"/>
          <w:b w:val="0"/>
          <w:i w:val="0"/>
          <w:strike/>
          <w:sz w:val="22"/>
          <w:u w:val="none"/>
        </w:rPr>
        <w:t>three hundred per cent (300%)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one hundred per cent (100%)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of the Charges paid in the preceding twelve (12) months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, and the Data Super-Cap shall be inclusive of and not additional to the cap in clause 2.1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[Lee &amp;amp; Partners (for Orbital Compute), 3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A super-cap set at three times annual contract value is not insurable on our client's current programme. We can accept a separate data cap in principle but it must sit within the general cap.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[R. Chandran (internal), 4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The second limb is the one that matters — making the super-cap inclusive defeats the entire point of having one. Resist that even if we concede the multiple. Landing zone: 200%, expressly additive.</w:t>
      </w: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4.2(c).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Step-In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/>
          <w:sz w:val="22"/>
          <w:u w:val="none"/>
        </w:rPr>
        <w:t>procure the affected Services from a third party and recover the reasonable additional cost of doing so from the Supplier as a debt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on not less than twenty (20) business days' notice, procure the affected Services from a third party, provided that the Supplier's liability for the additional cost shall be subject to the cap in clause 2.1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[Lee &amp;amp; Partners (for Orbital Compute), 3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An uncapped step-in cost recovery is an unlimited liability by another name and is unacceptable.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[J. Wee (internal), 4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The notice period is fine — twenty business days is workable, five is not. Bringing step-in cost inside the general cap is acceptable, because it is a cost recovery rather than a damages claim and will rarely approach the cap. Concede both.</w:t>
      </w: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5.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Termination for Convenience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...on six (6) months' written notice</w:t>
      </w:r>
      <w:r>
        <w:rPr>
          <w:rFonts w:ascii="Times New Roman" w:hAnsi="Times New Roman"/>
          <w:b w:val="0"/>
          <w:i w:val="0"/>
          <w:strike/>
          <w:sz w:val="22"/>
          <w:u w:val="none"/>
        </w:rPr>
        <w:t>, without any early termination charge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, subject to payment of an early termination charge equal to thirty per cent (30%) of the Charges that would have fallen due for the remainder of the then-current term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[Lee &amp;amp; Partners (for Orbital Compute), 3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Our client's pricing is built on a committed three-year term. Termination at will with no compensation transfers the whole of that risk to the Supplier.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[J. Wee (internal), 4 June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Client instructed on 7 May that she would rather give notice than money. Hold at no charge; if we must concede, it should bite only in year one, taper to nil, and must not apply where the Customer terminates following an Event of Default. Do not accept a flat 30% across the term.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