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MASTER SERVICES AGREEMENT</w:t>
      </w:r>
    </w:p>
    <w:p>
      <w:pPr>
        <w:spacing w:after="120" w:before="0"/>
        <w:jc w:val="center"/>
      </w:pPr>
      <w:r>
        <w:rPr>
          <w:rFonts w:ascii="Times New Roman" w:hAnsi="Times New Roman"/>
          <w:b w:val="0"/>
          <w:i/>
          <w:strike w:val="0"/>
          <w:sz w:val="22"/>
          <w:u w:val="none"/>
        </w:rPr>
        <w:t>(Execution Version — 24 June 2026)</w:t>
      </w:r>
    </w:p>
    <w:p>
      <w:pPr>
        <w:spacing w:after="120" w:before="0"/>
        <w:jc w:val="center"/>
      </w:pPr>
      <w:r>
        <w:rPr>
          <w:rFonts w:ascii="Times New Roman" w:hAnsi="Times New Roman"/>
          <w:b w:val="0"/>
          <w:i/>
          <w:strike w:val="0"/>
          <w:sz w:val="22"/>
          <w:u w:val="none"/>
        </w:rPr>
        <w:t>between</w:t>
      </w:r>
    </w:p>
    <w:p>
      <w:pPr>
        <w:spacing w:after="120" w:before="0"/>
        <w:jc w:val="center"/>
      </w:pPr>
      <w:r>
        <w:rPr>
          <w:rFonts w:ascii="Times New Roman" w:hAnsi="Times New Roman"/>
          <w:b/>
          <w:i w:val="0"/>
          <w:strike w:val="0"/>
          <w:sz w:val="26"/>
          <w:u w:val="none"/>
        </w:rPr>
        <w:t>HELIX DATA SYSTEMS PTE. LTD. and ORBITAL COMPUTE PTE. LTD.</w:t>
      </w:r>
    </w:p>
    <w:p>
      <w:pPr>
        <w:spacing w:after="120" w:before="0"/>
      </w:pPr>
    </w:p>
    <w:p>
      <w:pPr>
        <w:spacing w:after="200" w:before="0"/>
        <w:jc w:val="center"/>
      </w:pPr>
      <w:r>
        <w:rPr>
          <w:rFonts w:ascii="Times New Roman" w:hAnsi="Times New Roman"/>
          <w:b/>
          <w:i w:val="0"/>
          <w:strike w:val="0"/>
          <w:sz w:val="20"/>
          <w:u w:val="none"/>
        </w:rPr>
        <w:t>APPROVED BY SUPERVISING PARTNER (J. WEE) — FIRM MODEL PRECEDENT (CUSTOMER SIDE)</w:t>
      </w:r>
    </w:p>
    <w:p>
      <w:pPr>
        <w:spacing w:after="120" w:before="0"/>
        <w:jc w:val="both"/>
      </w:pPr>
      <w:r>
        <w:rPr>
          <w:rFonts w:ascii="Times New Roman" w:hAnsi="Times New Roman"/>
          <w:b w:val="0"/>
          <w:i w:val="0"/>
          <w:strike w:val="0"/>
          <w:sz w:val="22"/>
          <w:u w:val="none"/>
        </w:rPr>
        <w:t>Parties: (1) Helix Data Systems Pte. Ltd. (Company Registration No. 201644903H) (the "Customer"); and (2) Orbital Compute Pte. Ltd. (Company Registration No. 202188017C) (the "Supplier").</w:t>
      </w:r>
    </w:p>
    <w:p>
      <w:pPr>
        <w:spacing w:after="60" w:before="80"/>
      </w:pPr>
      <w:r>
        <w:rPr>
          <w:rFonts w:ascii="Times New Roman" w:hAnsi="Times New Roman"/>
          <w:b/>
          <w:i w:val="0"/>
          <w:strike w:val="0"/>
          <w:sz w:val="22"/>
          <w:u w:val="none"/>
        </w:rPr>
        <w:t xml:space="preserve">1. </w:t>
      </w:r>
      <w:r>
        <w:rPr>
          <w:rFonts w:ascii="Times New Roman" w:hAnsi="Times New Roman"/>
          <w:b/>
          <w:i w:val="0"/>
          <w:strike w:val="0"/>
          <w:sz w:val="22"/>
          <w:u w:val="none"/>
        </w:rPr>
        <w:t>Services</w:t>
      </w:r>
    </w:p>
    <w:p>
      <w:pPr>
        <w:spacing w:after="160" w:before="0"/>
        <w:jc w:val="both"/>
      </w:pPr>
      <w:r>
        <w:rPr>
          <w:rFonts w:ascii="Times New Roman" w:hAnsi="Times New Roman"/>
          <w:b w:val="0"/>
          <w:i w:val="0"/>
          <w:strike w:val="0"/>
          <w:sz w:val="22"/>
          <w:u w:val="none"/>
        </w:rPr>
        <w:t>The Supplier shall provide the services described in each Statement of Work agreed between the parties (the "Services") in accordance with this Agreement, the service levels set out in Schedule 2, and all applicable laws. Each Statement of Work forms part of this Agreement. In the event of conflict, this Agreement prevails over any Statement of Work unless that Statement of Work expressly identifies the clause it varies and is signed by an authorised representative of each party.</w:t>
      </w:r>
    </w:p>
    <w:p>
      <w:pPr>
        <w:spacing w:after="60" w:before="80"/>
      </w:pPr>
      <w:r>
        <w:rPr>
          <w:rFonts w:ascii="Times New Roman" w:hAnsi="Times New Roman"/>
          <w:b/>
          <w:i w:val="0"/>
          <w:strike w:val="0"/>
          <w:sz w:val="22"/>
          <w:u w:val="none"/>
        </w:rPr>
        <w:t xml:space="preserve">2. </w:t>
      </w:r>
      <w:r>
        <w:rPr>
          <w:rFonts w:ascii="Times New Roman" w:hAnsi="Times New Roman"/>
          <w:b/>
          <w:i w:val="0"/>
          <w:strike w:val="0"/>
          <w:sz w:val="22"/>
          <w:u w:val="none"/>
        </w:rPr>
        <w:t>Service Levels and Service Credits</w:t>
      </w:r>
    </w:p>
    <w:p>
      <w:pPr>
        <w:spacing w:after="160" w:before="0"/>
        <w:jc w:val="both"/>
      </w:pPr>
      <w:r>
        <w:rPr>
          <w:rFonts w:ascii="Times New Roman" w:hAnsi="Times New Roman"/>
          <w:b w:val="0"/>
          <w:i w:val="0"/>
          <w:strike w:val="0"/>
          <w:sz w:val="22"/>
          <w:u w:val="none"/>
        </w:rPr>
        <w:t>The Supplier shall meet the service levels in Schedule 2. Where it fails to do so, the Customer shall be entitled to the service credits set out in that Schedule. The parties agree that service credits constitute a price adjustment reflecting the reduced value of the Services received, and are not a genuine pre-estimate of loss nor the Customer's sole or exclusive remedy in respect of any failure to meet a service level.</w:t>
      </w:r>
    </w:p>
    <w:p>
      <w:pPr>
        <w:spacing w:after="80" w:before="0"/>
      </w:pPr>
      <w:r>
        <w:rPr>
          <w:rFonts w:ascii="Times New Roman" w:hAnsi="Times New Roman"/>
          <w:b/>
          <w:i w:val="0"/>
          <w:strike w:val="0"/>
          <w:sz w:val="22"/>
          <w:u w:val="none"/>
        </w:rPr>
        <w:t xml:space="preserve">3. </w:t>
      </w:r>
      <w:r>
        <w:rPr>
          <w:rFonts w:ascii="Times New Roman" w:hAnsi="Times New Roman"/>
          <w:b/>
          <w:i w:val="0"/>
          <w:strike w:val="0"/>
          <w:sz w:val="22"/>
          <w:u w:val="none"/>
        </w:rPr>
        <w:t>Limitation of Liability</w:t>
      </w:r>
    </w:p>
    <w:p>
      <w:pPr>
        <w:spacing w:after="120" w:before="0"/>
        <w:jc w:val="both"/>
      </w:pPr>
      <w:r>
        <w:rPr>
          <w:rFonts w:ascii="Times New Roman" w:hAnsi="Times New Roman"/>
          <w:b w:val="0"/>
          <w:i w:val="0"/>
          <w:strike w:val="0"/>
          <w:sz w:val="22"/>
          <w:u w:val="none"/>
        </w:rPr>
        <w:t>3.1</w:t>
        <w:tab/>
      </w:r>
      <w:r>
        <w:rPr>
          <w:rFonts w:ascii="Times New Roman" w:hAnsi="Times New Roman"/>
          <w:b w:val="0"/>
          <w:i w:val="0"/>
          <w:strike w:val="0"/>
          <w:sz w:val="22"/>
          <w:u w:val="none"/>
        </w:rPr>
        <w:t>Subject to clauses 3.3 and 3.4, each party's total aggregate liability arising out of or in connection with this Agreement, whether in contract, tort (including negligence), breach of statutory duty or otherwise, shall not exceed one hundred and fifty per cent (150%) of the total Charges paid or payable in the twelve (12) months immediately preceding the event giving rise to the claim.</w:t>
      </w:r>
    </w:p>
    <w:p>
      <w:pPr>
        <w:spacing w:after="120" w:before="0"/>
        <w:jc w:val="both"/>
      </w:pPr>
      <w:r>
        <w:rPr>
          <w:rFonts w:ascii="Times New Roman" w:hAnsi="Times New Roman"/>
          <w:b w:val="0"/>
          <w:i w:val="0"/>
          <w:strike w:val="0"/>
          <w:sz w:val="22"/>
          <w:u w:val="none"/>
        </w:rPr>
        <w:t>3.2</w:t>
        <w:tab/>
      </w:r>
      <w:r>
        <w:rPr>
          <w:rFonts w:ascii="Times New Roman" w:hAnsi="Times New Roman"/>
          <w:b w:val="0"/>
          <w:i w:val="0"/>
          <w:strike w:val="0"/>
          <w:sz w:val="22"/>
          <w:u w:val="none"/>
        </w:rPr>
        <w:t>Neither party shall be liable for any loss of profit, loss of anticipated savings or loss of business opportunity to the extent that such loss is indirect or consequential. For the avoidance of doubt, this clause does not exclude liability for any such loss which arises as a direct loss.</w:t>
      </w:r>
    </w:p>
    <w:p>
      <w:pPr>
        <w:spacing w:after="120" w:before="0"/>
        <w:jc w:val="both"/>
      </w:pPr>
      <w:r>
        <w:rPr>
          <w:rFonts w:ascii="Times New Roman" w:hAnsi="Times New Roman"/>
          <w:b w:val="0"/>
          <w:i w:val="0"/>
          <w:strike w:val="0"/>
          <w:sz w:val="22"/>
          <w:u w:val="none"/>
        </w:rPr>
        <w:t>3.3</w:t>
        <w:tab/>
      </w:r>
      <w:r>
        <w:rPr>
          <w:rFonts w:ascii="Times New Roman" w:hAnsi="Times New Roman"/>
          <w:b w:val="0"/>
          <w:i w:val="0"/>
          <w:strike w:val="0"/>
          <w:sz w:val="22"/>
          <w:u w:val="none"/>
        </w:rPr>
        <w:t>The Supplier's aggregate liability for breach of clause 8 (Data Protection), or for any unauthorised access to, or loss, corruption or disclosure of, Customer Data, shall not exceed two hundred per cent (200%) of the total Charges paid or payable in the twelve (12) months immediately preceding the event giving rise to the claim (the "Data Super-Cap"). The Data Super-Cap is separate from, and additional to, the cap in clause 3.1, and any sum recovered under one shall not reduce the sum recoverable under the other.</w:t>
      </w:r>
    </w:p>
    <w:p>
      <w:pPr>
        <w:spacing w:after="120" w:before="0"/>
        <w:jc w:val="both"/>
      </w:pPr>
      <w:r>
        <w:rPr>
          <w:rFonts w:ascii="Times New Roman" w:hAnsi="Times New Roman"/>
          <w:b w:val="0"/>
          <w:i w:val="0"/>
          <w:strike w:val="0"/>
          <w:sz w:val="22"/>
          <w:u w:val="none"/>
        </w:rPr>
        <w:t>3.4</w:t>
        <w:tab/>
      </w:r>
      <w:r>
        <w:rPr>
          <w:rFonts w:ascii="Times New Roman" w:hAnsi="Times New Roman"/>
          <w:b w:val="0"/>
          <w:i w:val="0"/>
          <w:strike w:val="0"/>
          <w:sz w:val="22"/>
          <w:u w:val="none"/>
        </w:rPr>
        <w:t>Nothing in this Agreement limits or excludes either party's liability for death or personal injury caused by its negligence, for fraud or fraudulent misrepresentation, for any liability which cannot lawfully be limited or excluded, for the Customer's obligation to pay Charges properly due, or for the Supplier's liability under the indemnity in clause 4.1.</w:t>
      </w:r>
    </w:p>
    <w:p>
      <w:pPr>
        <w:spacing w:after="80" w:before="0"/>
      </w:pPr>
      <w:r>
        <w:rPr>
          <w:rFonts w:ascii="Times New Roman" w:hAnsi="Times New Roman"/>
          <w:b/>
          <w:i w:val="0"/>
          <w:strike w:val="0"/>
          <w:sz w:val="22"/>
          <w:u w:val="none"/>
        </w:rPr>
        <w:t xml:space="preserve">4. </w:t>
      </w:r>
      <w:r>
        <w:rPr>
          <w:rFonts w:ascii="Times New Roman" w:hAnsi="Times New Roman"/>
          <w:b/>
          <w:i w:val="0"/>
          <w:strike w:val="0"/>
          <w:sz w:val="22"/>
          <w:u w:val="none"/>
        </w:rPr>
        <w:t>Indemnities</w:t>
      </w:r>
    </w:p>
    <w:p>
      <w:pPr>
        <w:spacing w:after="120" w:before="0"/>
        <w:jc w:val="both"/>
      </w:pPr>
      <w:r>
        <w:rPr>
          <w:rFonts w:ascii="Times New Roman" w:hAnsi="Times New Roman"/>
          <w:b w:val="0"/>
          <w:i w:val="0"/>
          <w:strike w:val="0"/>
          <w:sz w:val="22"/>
          <w:u w:val="none"/>
        </w:rPr>
        <w:t>4.1</w:t>
        <w:tab/>
      </w:r>
      <w:r>
        <w:rPr>
          <w:rFonts w:ascii="Times New Roman" w:hAnsi="Times New Roman"/>
          <w:b w:val="0"/>
          <w:i w:val="0"/>
          <w:strike w:val="0"/>
          <w:sz w:val="22"/>
          <w:u w:val="none"/>
        </w:rPr>
        <w:t>The Supplier shall indemnify and hold harmless the Customer against all losses, damages, costs and expenses (including reasonable legal costs) arising out of or in connection with any claim that the Services, or the Customer's receipt or use of the Services in accordance with this Agreement, infringe the intellectual property rights of any third party. Where such a claim is made or threatened, the Supplier shall at its own cost either procure for the Customer the right to continue using the Services, or modify or replace the Services so that they cease to infringe without material loss of functionality; and only if neither is achievable on commercially reasonable terms may the Supplier terminate the affected Services, refunding all Charges paid in respect of the period after termination.</w:t>
      </w:r>
    </w:p>
    <w:p>
      <w:pPr>
        <w:spacing w:after="120" w:before="0"/>
        <w:jc w:val="both"/>
      </w:pPr>
      <w:r>
        <w:rPr>
          <w:rFonts w:ascii="Times New Roman" w:hAnsi="Times New Roman"/>
          <w:b w:val="0"/>
          <w:i w:val="0"/>
          <w:strike w:val="0"/>
          <w:sz w:val="22"/>
          <w:u w:val="none"/>
        </w:rPr>
        <w:t>4.2</w:t>
        <w:tab/>
      </w:r>
      <w:r>
        <w:rPr>
          <w:rFonts w:ascii="Times New Roman" w:hAnsi="Times New Roman"/>
          <w:b w:val="0"/>
          <w:i w:val="0"/>
          <w:strike w:val="0"/>
          <w:sz w:val="22"/>
          <w:u w:val="none"/>
        </w:rPr>
        <w:t>The Supplier shall indemnify the Customer against any fine, penalty, enforcement action or reasonable cost of regulatory response imposed on or incurred by the Customer to the extent arising from the Supplier's breach of clause 8 or of applicable data protection law.</w:t>
      </w:r>
    </w:p>
    <w:p>
      <w:pPr>
        <w:spacing w:after="120" w:before="0"/>
        <w:jc w:val="both"/>
      </w:pPr>
      <w:r>
        <w:rPr>
          <w:rFonts w:ascii="Times New Roman" w:hAnsi="Times New Roman"/>
          <w:b w:val="0"/>
          <w:i w:val="0"/>
          <w:strike w:val="0"/>
          <w:sz w:val="22"/>
          <w:u w:val="none"/>
        </w:rPr>
        <w:t>4.3</w:t>
        <w:tab/>
      </w:r>
      <w:r>
        <w:rPr>
          <w:rFonts w:ascii="Times New Roman" w:hAnsi="Times New Roman"/>
          <w:b w:val="0"/>
          <w:i w:val="0"/>
          <w:strike w:val="0"/>
          <w:sz w:val="22"/>
          <w:u w:val="none"/>
        </w:rPr>
        <w:t>The Customer shall indemnify the Supplier against any claim that Customer Data supplied by the Customer infringes the intellectual property rights of a third party, save to the extent the claim arises from the Supplier's processing of that data otherwise than in accordance with this Agreement.</w:t>
      </w:r>
    </w:p>
    <w:p>
      <w:pPr>
        <w:spacing w:after="120" w:before="0"/>
        <w:jc w:val="both"/>
      </w:pPr>
      <w:r>
        <w:rPr>
          <w:rFonts w:ascii="Times New Roman" w:hAnsi="Times New Roman"/>
          <w:b w:val="0"/>
          <w:i w:val="0"/>
          <w:strike w:val="0"/>
          <w:sz w:val="22"/>
          <w:u w:val="none"/>
        </w:rPr>
        <w:t>4.4</w:t>
        <w:tab/>
      </w:r>
      <w:r>
        <w:rPr>
          <w:rFonts w:ascii="Times New Roman" w:hAnsi="Times New Roman"/>
          <w:b w:val="0"/>
          <w:i w:val="0"/>
          <w:strike w:val="0"/>
          <w:sz w:val="22"/>
          <w:u w:val="none"/>
        </w:rPr>
        <w:t>The party seeking to rely on an indemnity shall notify the other promptly of any relevant claim, shall not admit liability or settle without the indemnifying party's consent (not to be unreasonably withheld), and shall permit the indemnifying party to conduct the defence provided it does so diligently and at its own cost. A failure to notify promptly shall reduce the indemnity only to the extent the indemnifying party is actually prejudiced by the delay.</w:t>
      </w:r>
    </w:p>
    <w:p>
      <w:pPr>
        <w:spacing w:after="80" w:before="0"/>
      </w:pPr>
      <w:r>
        <w:rPr>
          <w:rFonts w:ascii="Times New Roman" w:hAnsi="Times New Roman"/>
          <w:b/>
          <w:i w:val="0"/>
          <w:strike w:val="0"/>
          <w:sz w:val="22"/>
          <w:u w:val="none"/>
        </w:rPr>
        <w:t xml:space="preserve">5. </w:t>
      </w:r>
      <w:r>
        <w:rPr>
          <w:rFonts w:ascii="Times New Roman" w:hAnsi="Times New Roman"/>
          <w:b/>
          <w:i w:val="0"/>
          <w:strike w:val="0"/>
          <w:sz w:val="22"/>
          <w:u w:val="none"/>
        </w:rPr>
        <w:t>Default</w:t>
      </w:r>
    </w:p>
    <w:p>
      <w:pPr>
        <w:spacing w:after="120" w:before="0"/>
        <w:jc w:val="both"/>
      </w:pPr>
      <w:r>
        <w:rPr>
          <w:rFonts w:ascii="Times New Roman" w:hAnsi="Times New Roman"/>
          <w:b w:val="0"/>
          <w:i w:val="0"/>
          <w:strike w:val="0"/>
          <w:sz w:val="22"/>
          <w:u w:val="none"/>
        </w:rPr>
        <w:t>5.1</w:t>
        <w:tab/>
      </w:r>
      <w:r>
        <w:rPr>
          <w:rFonts w:ascii="Times New Roman" w:hAnsi="Times New Roman"/>
          <w:b w:val="0"/>
          <w:i w:val="0"/>
          <w:strike w:val="0"/>
          <w:sz w:val="22"/>
          <w:u w:val="none"/>
        </w:rPr>
        <w:t>Each of the following constitutes an "Event of Default" in respect of a party: (a) a material breach of this Agreement which is not remediable, or which is remediable and is not remedied within thirty (30) days of written notice requiring its remedy; (b) in the case of the Supplier, a failure to meet the same service level in three (3) consecutive months; (c) the appointment of a receiver, judicial manager or liquidator over the whole or any material part of its assets, the passing of a resolution for its winding up, or its entry into any composition or arrangement with its creditors generally; or (d) in the case of the Supplier, any change of control in favour of a competitor of the Customer effected without the Customer's prior written consent.</w:t>
      </w:r>
    </w:p>
    <w:p>
      <w:pPr>
        <w:spacing w:after="120" w:before="0"/>
        <w:jc w:val="both"/>
      </w:pPr>
      <w:r>
        <w:rPr>
          <w:rFonts w:ascii="Times New Roman" w:hAnsi="Times New Roman"/>
          <w:b w:val="0"/>
          <w:i w:val="0"/>
          <w:strike w:val="0"/>
          <w:sz w:val="22"/>
          <w:u w:val="none"/>
        </w:rPr>
        <w:t>5.2</w:t>
        <w:tab/>
      </w:r>
      <w:r>
        <w:rPr>
          <w:rFonts w:ascii="Times New Roman" w:hAnsi="Times New Roman"/>
          <w:b w:val="0"/>
          <w:i w:val="0"/>
          <w:strike w:val="0"/>
          <w:sz w:val="22"/>
          <w:u w:val="none"/>
        </w:rPr>
        <w:t>On the occurrence of an Event of Default in respect of the Supplier, the Customer may, without prejudice to any other right or remedy and without any obligation to terminate: (a) require the Supplier to submit a written rectification plan within ten (10) business days and to implement that plan at its own cost; (b) withhold payment of the Charges attributable to the affected Services until the default is remedied, such Charges to be paid within thirty (30) days of remedy; (c) on not less than twenty (20) business days' written notice, procure the affected Services from a third party and recover the reasonable additional cost of doing so from the Supplier, such recovery being subject to the cap in clause 3.1; and (d) set off any sum due to it under this clause against any sum otherwise payable by it to the Supplier.</w:t>
      </w:r>
    </w:p>
    <w:p>
      <w:pPr>
        <w:spacing w:after="120" w:before="0"/>
        <w:jc w:val="both"/>
      </w:pPr>
      <w:r>
        <w:rPr>
          <w:rFonts w:ascii="Times New Roman" w:hAnsi="Times New Roman"/>
          <w:b w:val="0"/>
          <w:i w:val="0"/>
          <w:strike w:val="0"/>
          <w:sz w:val="22"/>
          <w:u w:val="none"/>
        </w:rPr>
        <w:t>5.3</w:t>
        <w:tab/>
      </w:r>
      <w:r>
        <w:rPr>
          <w:rFonts w:ascii="Times New Roman" w:hAnsi="Times New Roman"/>
          <w:b w:val="0"/>
          <w:i w:val="0"/>
          <w:strike w:val="0"/>
          <w:sz w:val="22"/>
          <w:u w:val="none"/>
        </w:rPr>
        <w:t>The exercise of any remedy under clause 5.2 shall not prejudice the Customer's right subsequently to terminate under clause 6.1, and no delay or failure to exercise any right under this clause 5 shall operate as a waiver of that right.</w:t>
      </w:r>
    </w:p>
    <w:p>
      <w:pPr>
        <w:spacing w:after="120" w:before="0"/>
        <w:jc w:val="both"/>
      </w:pPr>
      <w:r>
        <w:rPr>
          <w:rFonts w:ascii="Times New Roman" w:hAnsi="Times New Roman"/>
          <w:b w:val="0"/>
          <w:i w:val="0"/>
          <w:strike w:val="0"/>
          <w:sz w:val="22"/>
          <w:u w:val="none"/>
        </w:rPr>
        <w:t>5.4</w:t>
        <w:tab/>
      </w:r>
      <w:r>
        <w:rPr>
          <w:rFonts w:ascii="Times New Roman" w:hAnsi="Times New Roman"/>
          <w:b w:val="0"/>
          <w:i w:val="0"/>
          <w:strike w:val="0"/>
          <w:sz w:val="22"/>
          <w:u w:val="none"/>
        </w:rPr>
        <w:t>On the occurrence of an Event of Default in respect of the Customer consisting of non-payment of sums properly due, the Supplier's sole remedies shall be to charge interest at three per cent (3%) per annum above the prevailing prime lending rate and, where the sum has remained unpaid for sixty (60) days after written notice, to suspend the affected Services. The Supplier shall not suspend the Services on account of any sum disputed in good faith.</w:t>
      </w:r>
    </w:p>
    <w:p>
      <w:pPr>
        <w:spacing w:after="80" w:before="0"/>
      </w:pPr>
      <w:r>
        <w:rPr>
          <w:rFonts w:ascii="Times New Roman" w:hAnsi="Times New Roman"/>
          <w:b/>
          <w:i w:val="0"/>
          <w:strike w:val="0"/>
          <w:sz w:val="22"/>
          <w:u w:val="none"/>
        </w:rPr>
        <w:t xml:space="preserve">6. </w:t>
      </w:r>
      <w:r>
        <w:rPr>
          <w:rFonts w:ascii="Times New Roman" w:hAnsi="Times New Roman"/>
          <w:b/>
          <w:i w:val="0"/>
          <w:strike w:val="0"/>
          <w:sz w:val="22"/>
          <w:u w:val="none"/>
        </w:rPr>
        <w:t>Term and Termination</w:t>
      </w:r>
    </w:p>
    <w:p>
      <w:pPr>
        <w:spacing w:after="120" w:before="0"/>
        <w:jc w:val="both"/>
      </w:pPr>
      <w:r>
        <w:rPr>
          <w:rFonts w:ascii="Times New Roman" w:hAnsi="Times New Roman"/>
          <w:b w:val="0"/>
          <w:i w:val="0"/>
          <w:strike w:val="0"/>
          <w:sz w:val="22"/>
          <w:u w:val="none"/>
        </w:rPr>
        <w:t>6.1</w:t>
        <w:tab/>
      </w:r>
      <w:r>
        <w:rPr>
          <w:rFonts w:ascii="Times New Roman" w:hAnsi="Times New Roman"/>
          <w:b w:val="0"/>
          <w:i w:val="0"/>
          <w:strike w:val="0"/>
          <w:sz w:val="22"/>
          <w:u w:val="none"/>
        </w:rPr>
        <w:t>Either party may terminate this Agreement or any Statement of Work with immediate effect by written notice on the occurrence of an Event of Default in respect of the other party.</w:t>
      </w:r>
    </w:p>
    <w:p>
      <w:pPr>
        <w:spacing w:after="120" w:before="0"/>
        <w:jc w:val="both"/>
      </w:pPr>
      <w:r>
        <w:rPr>
          <w:rFonts w:ascii="Times New Roman" w:hAnsi="Times New Roman"/>
          <w:b w:val="0"/>
          <w:i w:val="0"/>
          <w:strike w:val="0"/>
          <w:sz w:val="22"/>
          <w:u w:val="none"/>
        </w:rPr>
        <w:t>6.2</w:t>
        <w:tab/>
      </w:r>
      <w:r>
        <w:rPr>
          <w:rFonts w:ascii="Times New Roman" w:hAnsi="Times New Roman"/>
          <w:b w:val="0"/>
          <w:i w:val="0"/>
          <w:strike w:val="0"/>
          <w:sz w:val="22"/>
          <w:u w:val="none"/>
        </w:rPr>
        <w:t>The Customer may terminate this Agreement or any Statement of Work for convenience on six (6) months' written notice. Where such notice is given during the first twelve (12) months of the initial term, the Customer shall pay an early termination charge equal to fifteen per cent (15%) of the Charges that would have fallen due between the effective date of termination and the first anniversary of the Effective Date. No early termination charge shall be payable where notice is given after that first anniversary, nor where the Customer terminates following an Event of Default, nor where the Customer terminates following a failure by the Supplier to meet a service level.</w:t>
      </w:r>
    </w:p>
    <w:p>
      <w:pPr>
        <w:spacing w:after="120" w:before="0"/>
        <w:jc w:val="both"/>
      </w:pPr>
      <w:r>
        <w:rPr>
          <w:rFonts w:ascii="Times New Roman" w:hAnsi="Times New Roman"/>
          <w:b w:val="0"/>
          <w:i w:val="0"/>
          <w:strike w:val="0"/>
          <w:sz w:val="22"/>
          <w:u w:val="none"/>
        </w:rPr>
        <w:t>6.3</w:t>
        <w:tab/>
      </w:r>
      <w:r>
        <w:rPr>
          <w:rFonts w:ascii="Times New Roman" w:hAnsi="Times New Roman"/>
          <w:b w:val="0"/>
          <w:i w:val="0"/>
          <w:strike w:val="0"/>
          <w:sz w:val="22"/>
          <w:u w:val="none"/>
        </w:rPr>
        <w:t>Termination shall not affect any accrued right or liability, and clauses 3, 4, 5, 7, 8 and 10 survive termination.</w:t>
      </w:r>
    </w:p>
    <w:p>
      <w:pPr>
        <w:spacing w:after="60" w:before="80"/>
      </w:pPr>
      <w:r>
        <w:rPr>
          <w:rFonts w:ascii="Times New Roman" w:hAnsi="Times New Roman"/>
          <w:b/>
          <w:i w:val="0"/>
          <w:strike w:val="0"/>
          <w:sz w:val="22"/>
          <w:u w:val="none"/>
        </w:rPr>
        <w:t xml:space="preserve">7. </w:t>
      </w:r>
      <w:r>
        <w:rPr>
          <w:rFonts w:ascii="Times New Roman" w:hAnsi="Times New Roman"/>
          <w:b/>
          <w:i w:val="0"/>
          <w:strike w:val="0"/>
          <w:sz w:val="22"/>
          <w:u w:val="none"/>
        </w:rPr>
        <w:t>Exit Assistance</w:t>
      </w:r>
    </w:p>
    <w:p>
      <w:pPr>
        <w:spacing w:after="160" w:before="0"/>
        <w:jc w:val="both"/>
      </w:pPr>
      <w:r>
        <w:rPr>
          <w:rFonts w:ascii="Times New Roman" w:hAnsi="Times New Roman"/>
          <w:b w:val="0"/>
          <w:i w:val="0"/>
          <w:strike w:val="0"/>
          <w:sz w:val="22"/>
          <w:u w:val="none"/>
        </w:rPr>
        <w:t>On expiry or termination for any reason, and for nine (9) months thereafter, the Supplier shall at the Customer's request provide all reasonable assistance to migrate the Services to the Customer or a replacement supplier, including delivering all Customer Data in a commonly used, machine-readable and non-proprietary format and thereafter securely deleting all copies and certifying that deletion; providing reasonable access to personnel familiar with the Services; providing configuration documentation; and continuing to provide the Services on the then-current terms during any agreed migration period. Exit assistance shall be charged at the Supplier's then-current time and materials rates, save where the Customer has terminated following an Event of Default, in which case it shall be provided at no charge. The Supplier shall not assert any lien or right of retention over any Customer Data on account of any disputed sum.</w:t>
      </w:r>
    </w:p>
    <w:p>
      <w:pPr>
        <w:spacing w:after="60" w:before="80"/>
      </w:pPr>
      <w:r>
        <w:rPr>
          <w:rFonts w:ascii="Times New Roman" w:hAnsi="Times New Roman"/>
          <w:b/>
          <w:i w:val="0"/>
          <w:strike w:val="0"/>
          <w:sz w:val="22"/>
          <w:u w:val="none"/>
        </w:rPr>
        <w:t xml:space="preserve">8. </w:t>
      </w:r>
      <w:r>
        <w:rPr>
          <w:rFonts w:ascii="Times New Roman" w:hAnsi="Times New Roman"/>
          <w:b/>
          <w:i w:val="0"/>
          <w:strike w:val="0"/>
          <w:sz w:val="22"/>
          <w:u w:val="none"/>
        </w:rPr>
        <w:t>Data Protection</w:t>
      </w:r>
    </w:p>
    <w:p>
      <w:pPr>
        <w:spacing w:after="160" w:before="0"/>
        <w:jc w:val="both"/>
      </w:pPr>
      <w:r>
        <w:rPr>
          <w:rFonts w:ascii="Times New Roman" w:hAnsi="Times New Roman"/>
          <w:b w:val="0"/>
          <w:i w:val="0"/>
          <w:strike w:val="0"/>
          <w:sz w:val="22"/>
          <w:u w:val="none"/>
        </w:rPr>
        <w:t>The Supplier shall process Customer Data only on the Customer's documented instructions; shall implement and maintain appropriate technical and organisational measures against unauthorised or unlawful processing and against accidental loss or destruction; shall ensure that personnel authorised to process Customer Data are bound by obligations of confidentiality; shall not engage any sub-processor without the Customer's prior written consent and shall impose equivalent obligations on any approved sub-processor, remaining fully liable for its acts and omissions; shall notify the Customer without undue delay and in any event within twenty-four (24) hours of becoming aware of any breach affecting Customer Data; and shall permit the Customer, on reasonable notice and not more than once in any twelve (12) month period save following a breach, to audit compliance with this clause. The Supplier shall comply with the Personal Data Protection Act 2012.</w:t>
      </w:r>
    </w:p>
    <w:p>
      <w:pPr>
        <w:spacing w:after="60" w:before="80"/>
      </w:pPr>
      <w:r>
        <w:rPr>
          <w:rFonts w:ascii="Times New Roman" w:hAnsi="Times New Roman"/>
          <w:b/>
          <w:i w:val="0"/>
          <w:strike w:val="0"/>
          <w:sz w:val="22"/>
          <w:u w:val="none"/>
        </w:rPr>
        <w:t xml:space="preserve">9. </w:t>
      </w:r>
      <w:r>
        <w:rPr>
          <w:rFonts w:ascii="Times New Roman" w:hAnsi="Times New Roman"/>
          <w:b/>
          <w:i w:val="0"/>
          <w:strike w:val="0"/>
          <w:sz w:val="22"/>
          <w:u w:val="none"/>
        </w:rPr>
        <w:t>Charges and Payment</w:t>
      </w:r>
    </w:p>
    <w:p>
      <w:pPr>
        <w:spacing w:after="160" w:before="0"/>
        <w:jc w:val="both"/>
      </w:pPr>
      <w:r>
        <w:rPr>
          <w:rFonts w:ascii="Times New Roman" w:hAnsi="Times New Roman"/>
          <w:b w:val="0"/>
          <w:i w:val="0"/>
          <w:strike w:val="0"/>
          <w:sz w:val="22"/>
          <w:u w:val="none"/>
        </w:rPr>
        <w:t>The Customer shall pay the Charges set out in each Statement of Work within thirty (30) days of receipt of a valid invoice. The Supplier may increase the Charges once in any twelve (12) month period on not less than ninety (90) days' written notice, by no more than the increase in the Consumer Price Index (All Items) published by the Department of Statistics Singapore over the preceding twelve (12) months. Where the Customer disputes an invoice in good faith it shall pay the undisputed portion.</w:t>
      </w:r>
    </w:p>
    <w:p>
      <w:pPr>
        <w:spacing w:after="60" w:before="80"/>
      </w:pPr>
      <w:r>
        <w:rPr>
          <w:rFonts w:ascii="Times New Roman" w:hAnsi="Times New Roman"/>
          <w:b/>
          <w:i w:val="0"/>
          <w:strike w:val="0"/>
          <w:sz w:val="22"/>
          <w:u w:val="none"/>
        </w:rPr>
        <w:t xml:space="preserve">10. </w:t>
      </w:r>
      <w:r>
        <w:rPr>
          <w:rFonts w:ascii="Times New Roman" w:hAnsi="Times New Roman"/>
          <w:b/>
          <w:i w:val="0"/>
          <w:strike w:val="0"/>
          <w:sz w:val="22"/>
          <w:u w:val="none"/>
        </w:rPr>
        <w:t>Governing Law and Dispute Resolution</w:t>
      </w:r>
    </w:p>
    <w:p>
      <w:pPr>
        <w:spacing w:after="160" w:before="0"/>
        <w:jc w:val="both"/>
      </w:pPr>
      <w:r>
        <w:rPr>
          <w:rFonts w:ascii="Times New Roman" w:hAnsi="Times New Roman"/>
          <w:b w:val="0"/>
          <w:i w:val="0"/>
          <w:strike w:val="0"/>
          <w:sz w:val="22"/>
          <w:u w:val="none"/>
        </w:rPr>
        <w:t>This Agreement is governed by and shall be construed in accordance with the laws of Singapore. Any dispute arising out of or in connection with this Agreement, including any question regarding its existence, validity or termination, shall first be referred to a senior representative of each party for resolution in good faith within fourteen (14) days. Failing resolution, the dispute shall be referred to and finally resolved by arbitration administered by the Singapore International Arbitration Centre in accordance with its Arbitration Rules for the time being in force. The seat shall be Singapore, the language English, and the tribunal shall consist of one (1) arbitrator. Nothing in this clause prevents either party from seeking urgent interim relief from any court of competent jurisdiction.</w:t>
      </w:r>
    </w:p>
    <w:p>
      <w:pPr>
        <w:spacing w:after="60" w:before="80"/>
      </w:pPr>
      <w:r>
        <w:rPr>
          <w:rFonts w:ascii="Times New Roman" w:hAnsi="Times New Roman"/>
          <w:b/>
          <w:i w:val="0"/>
          <w:strike w:val="0"/>
          <w:sz w:val="22"/>
          <w:u w:val="none"/>
        </w:rPr>
        <w:t xml:space="preserve">11. </w:t>
      </w:r>
      <w:r>
        <w:rPr>
          <w:rFonts w:ascii="Times New Roman" w:hAnsi="Times New Roman"/>
          <w:b/>
          <w:i w:val="0"/>
          <w:strike w:val="0"/>
          <w:sz w:val="22"/>
          <w:u w:val="none"/>
        </w:rPr>
        <w:t>Rights of Third Parties</w:t>
      </w:r>
    </w:p>
    <w:p>
      <w:pPr>
        <w:spacing w:after="160" w:before="0"/>
        <w:jc w:val="both"/>
      </w:pPr>
      <w:r>
        <w:rPr>
          <w:rFonts w:ascii="Times New Roman" w:hAnsi="Times New Roman"/>
          <w:b w:val="0"/>
          <w:i w:val="0"/>
          <w:strike w:val="0"/>
          <w:sz w:val="22"/>
          <w:u w:val="none"/>
        </w:rPr>
        <w:t>A person who is not a party to this Agreement has no rights under the Contracts (Rights of Third Parties) Act 2001 to enforce any term of this Agreement.</w:t>
      </w:r>
    </w:p>
    <w:p>
      <w:pPr>
        <w:spacing w:after="120" w:before="0"/>
      </w:pPr>
    </w:p>
    <w:p>
      <w:pPr>
        <w:spacing w:after="200" w:before="0"/>
      </w:pPr>
      <w:r>
        <w:rPr>
          <w:rFonts w:ascii="Times New Roman" w:hAnsi="Times New Roman"/>
          <w:b/>
          <w:i w:val="0"/>
          <w:strike w:val="0"/>
          <w:sz w:val="22"/>
          <w:u w:val="none"/>
        </w:rPr>
        <w:t>EXECUTED as an agreement on 24 June 2026.</w:t>
      </w:r>
    </w:p>
    <w:tbl>
      <w:tblPr>
        <w:tblW w:type="auto" w:w="0"/>
        <w:tblLook w:firstColumn="1" w:firstRow="1" w:lastColumn="0" w:lastRow="0" w:noHBand="0" w:noVBand="1" w:val="04A0"/>
      </w:tblPr>
      <w:tblGrid>
        <w:gridCol w:w="4154"/>
        <w:gridCol w:w="4154"/>
      </w:tblGrid>
      <w:tr>
        <w:tc>
          <w:tcPr>
            <w:tcW w:type="dxa" w:w="4154"/>
          </w:tcPr>
          <w:p>
            <w:r/>
            <w:r>
              <w:rPr>
                <w:rFonts w:ascii="Times New Roman" w:hAnsi="Times New Roman"/>
                <w:b w:val="0"/>
                <w:i w:val="0"/>
                <w:strike w:val="0"/>
                <w:sz w:val="20"/>
                <w:u w:val="none"/>
              </w:rPr>
              <w:t>SIGNED by</w:t>
              <w:br/>
              <w:t>for and on behalf of</w:t>
              <w:br/>
              <w:t>HELIX DATA SYSTEMS PTE. LTD.</w:t>
              <w:br/>
              <w:t>in the presence of:</w:t>
            </w:r>
          </w:p>
        </w:tc>
        <w:tc>
          <w:tcPr>
            <w:tcW w:type="dxa" w:w="4154"/>
          </w:tcPr>
          <w:p>
            <w:r/>
            <w:r>
              <w:rPr>
                <w:rFonts w:ascii="Times New Roman" w:hAnsi="Times New Roman"/>
                <w:b w:val="0"/>
                <w:i w:val="0"/>
                <w:strike w:val="0"/>
                <w:sz w:val="20"/>
                <w:u w:val="none"/>
              </w:rPr>
              <w:t>SIGNED by</w:t>
              <w:br/>
              <w:t>for and on behalf of</w:t>
              <w:br/>
              <w:t>ORBITAL COMPUTE PTE. LTD.</w:t>
              <w:br/>
              <w:t>in the presence of:</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