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trike w:val="0"/>
          <w:sz w:val="26"/>
          <w:u w:val="none"/>
        </w:rPr>
        <w:t>WEE CORPORATE LAW LLC</w:t>
      </w:r>
    </w:p>
    <w:p>
      <w:pPr>
        <w:spacing w:after="120" w:before="0"/>
        <w:jc w:val="center"/>
      </w:pPr>
      <w:r>
        <w:rPr>
          <w:rFonts w:ascii="Times New Roman" w:hAnsi="Times New Roman"/>
          <w:b/>
          <w:i w:val="0"/>
          <w:strike w:val="0"/>
          <w:sz w:val="26"/>
          <w:u w:val="none"/>
        </w:rPr>
        <w:t>FILE NOTE — PRECEDENT STATUS</w:t>
      </w:r>
    </w:p>
    <w:p>
      <w:pPr>
        <w:spacing w:after="120" w:before="0"/>
      </w:pPr>
    </w:p>
    <w:p>
      <w:pPr>
        <w:spacing w:after="40" w:before="0"/>
      </w:pPr>
      <w:r>
        <w:rPr>
          <w:rFonts w:ascii="Times New Roman" w:hAnsi="Times New Roman"/>
          <w:b/>
          <w:i w:val="0"/>
          <w:strike w:val="0"/>
          <w:sz w:val="22"/>
          <w:u w:val="none"/>
        </w:rPr>
        <w:t>Matter: MAT-2024-0912 — Vantage Foods Holdings JV</w:t>
      </w:r>
    </w:p>
    <w:p>
      <w:pPr>
        <w:spacing w:after="40" w:before="0"/>
      </w:pPr>
      <w:r>
        <w:rPr>
          <w:rFonts w:ascii="Times New Roman" w:hAnsi="Times New Roman"/>
          <w:b w:val="0"/>
          <w:i w:val="0"/>
          <w:strike w:val="0"/>
          <w:sz w:val="22"/>
          <w:u w:val="none"/>
        </w:rPr>
        <w:t>From: R. Chandran</w:t>
      </w:r>
    </w:p>
    <w:p>
      <w:pPr>
        <w:spacing w:after="40" w:before="0"/>
      </w:pPr>
      <w:r>
        <w:rPr>
          <w:rFonts w:ascii="Times New Roman" w:hAnsi="Times New Roman"/>
          <w:b w:val="0"/>
          <w:i w:val="0"/>
          <w:strike w:val="0"/>
          <w:sz w:val="22"/>
          <w:u w:val="none"/>
        </w:rPr>
        <w:t>To: Knowledge file</w:t>
      </w:r>
    </w:p>
    <w:p>
      <w:pPr>
        <w:spacing w:after="40" w:before="0"/>
      </w:pPr>
      <w:r>
        <w:rPr>
          <w:rFonts w:ascii="Times New Roman" w:hAnsi="Times New Roman"/>
          <w:b w:val="0"/>
          <w:i w:val="0"/>
          <w:strike w:val="0"/>
          <w:sz w:val="22"/>
          <w:u w:val="none"/>
        </w:rPr>
        <w:t>Date: 20 February 2026</w:t>
      </w:r>
    </w:p>
    <w:p>
      <w:pPr>
        <w:spacing w:after="120" w:before="0"/>
      </w:pPr>
    </w:p>
    <w:p>
      <w:pPr>
        <w:spacing w:after="120" w:before="0"/>
        <w:jc w:val="both"/>
      </w:pPr>
      <w:r>
        <w:rPr>
          <w:rFonts w:ascii="Times New Roman" w:hAnsi="Times New Roman"/>
          <w:b w:val="0"/>
          <w:i w:val="0"/>
          <w:strike w:val="0"/>
          <w:sz w:val="22"/>
          <w:u w:val="none"/>
        </w:rPr>
        <w:t>Note for anyone pulling this agreement as a starting point: it should no longer be used as a model.</w:t>
      </w:r>
    </w:p>
    <w:p>
      <w:pPr>
        <w:spacing w:after="120" w:before="0"/>
        <w:jc w:val="both"/>
      </w:pPr>
      <w:r>
        <w:rPr>
          <w:rFonts w:ascii="Times New Roman" w:hAnsi="Times New Roman"/>
          <w:b w:val="0"/>
          <w:i w:val="0"/>
          <w:strike w:val="0"/>
          <w:sz w:val="22"/>
          <w:u w:val="none"/>
        </w:rPr>
        <w:t>First, the statutory references are out of date. The agreement cites the Contracts (Rights of Third Parties) Act (Cap. 53B) and the Companies Act (Cap. 50); following the 2020 revised edition these are now the Contracts (Rights of Third Parties) Act 2001 and the Companies Act 1967. The dispute resolution clause is also hard-wired to the SIAC Rules (6th Edition, 2016), which have since been superseded.</w:t>
      </w:r>
    </w:p>
    <w:p>
      <w:pPr>
        <w:spacing w:after="120" w:before="0"/>
        <w:jc w:val="both"/>
      </w:pPr>
      <w:r>
        <w:rPr>
          <w:rFonts w:ascii="Times New Roman" w:hAnsi="Times New Roman"/>
          <w:b w:val="0"/>
          <w:i w:val="0"/>
          <w:strike w:val="0"/>
          <w:sz w:val="22"/>
          <w:u w:val="none"/>
        </w:rPr>
        <w:t>Second, and more importantly, the deadlock clause is a bare shotgun provision with no independent valuation and a deemed acceptance on silence. JW warned the client about this at the time (see correspondence of 15 October 2024). The mechanism was in fact triggered in January 2026 and the outcome was poor for our client. The firm's current model deadlock language — independent Expert Valuer, going-concern basis with no minority discount, reciprocal put/call, and an express anti-artificiality carve-out — is at clause 5 of the executed Aurora Ventures agreement (MAT-2026-0561). Use that instead.</w:t>
      </w:r>
    </w:p>
    <w:p>
      <w:pPr>
        <w:spacing w:after="120" w:before="0"/>
        <w:jc w:val="both"/>
      </w:pPr>
      <w:r>
        <w:rPr>
          <w:rFonts w:ascii="Times New Roman" w:hAnsi="Times New Roman"/>
          <w:b w:val="0"/>
          <w:i w:val="0"/>
          <w:strike w:val="0"/>
          <w:sz w:val="22"/>
          <w:u w:val="none"/>
        </w:rPr>
        <w:t>Third, the non-competition clause is unlimited in geographical scope and is likely unenforceable.</w:t>
      </w:r>
    </w:p>
    <w:p>
      <w:pPr>
        <w:spacing w:after="120" w:before="0"/>
        <w:jc w:val="both"/>
      </w:pPr>
      <w:r>
        <w:rPr>
          <w:rFonts w:ascii="Times New Roman" w:hAnsi="Times New Roman"/>
          <w:b w:val="0"/>
          <w:i w:val="0"/>
          <w:strike w:val="0"/>
          <w:sz w:val="22"/>
          <w:u w:val="none"/>
        </w:rPr>
        <w:t>Conflicts note: Pratim Capital Partners is adverse to Trashi Digital in an unrelated matter opened in March 2026. Anyone accessing this file in connection with a Trashi matter should check with the conflicts desk first.</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