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rFonts w:ascii="Times New Roman" w:hAnsi="Times New Roman"/>
          <w:b/>
          <w:i/>
          <w:strike w:val="0"/>
          <w:sz w:val="20"/>
          <w:u w:val="none"/>
        </w:rPr>
        <w:t>DRAFT — MARKED UP AGAINST INVESTOR TEMPLATE, 15 APRIL 2026</w:t>
      </w:r>
    </w:p>
    <w:p>
      <w:pPr>
        <w:spacing w:after="120" w:before="0"/>
        <w:jc w:val="center"/>
      </w:pPr>
      <w:r>
        <w:rPr>
          <w:rFonts w:ascii="Times New Roman" w:hAnsi="Times New Roman"/>
          <w:b/>
          <w:i w:val="0"/>
          <w:strike w:val="0"/>
          <w:sz w:val="26"/>
          <w:u w:val="none"/>
        </w:rPr>
        <w:t>INVESTMENT AND SUBSCRIPTION DEED</w:t>
      </w:r>
    </w:p>
    <w:p>
      <w:pPr>
        <w:spacing w:after="120" w:before="0"/>
        <w:jc w:val="center"/>
      </w:pPr>
      <w:r>
        <w:rPr>
          <w:rFonts w:ascii="Times New Roman" w:hAnsi="Times New Roman"/>
          <w:b w:val="0"/>
          <w:i/>
          <w:strike w:val="0"/>
          <w:sz w:val="22"/>
          <w:u w:val="none"/>
        </w:rPr>
        <w:t>relating to</w:t>
      </w:r>
    </w:p>
    <w:p>
      <w:pPr>
        <w:spacing w:after="120" w:before="0"/>
        <w:jc w:val="center"/>
      </w:pPr>
      <w:r>
        <w:rPr>
          <w:rFonts w:ascii="Times New Roman" w:hAnsi="Times New Roman"/>
          <w:b/>
          <w:i w:val="0"/>
          <w:strike w:val="0"/>
          <w:sz w:val="26"/>
          <w:u w:val="none"/>
        </w:rPr>
        <w:t>TRASHI DIGITAL PTE. LTD.</w:t>
      </w:r>
    </w:p>
    <w:p>
      <w:pPr>
        <w:spacing w:after="120" w:before="0"/>
      </w:pPr>
    </w:p>
    <w:p>
      <w:pPr>
        <w:spacing w:after="120" w:before="0"/>
        <w:jc w:val="both"/>
      </w:pPr>
      <w:r>
        <w:rPr>
          <w:rFonts w:ascii="Times New Roman" w:hAnsi="Times New Roman"/>
          <w:b w:val="0"/>
          <w:i w:val="0"/>
          <w:strike w:val="0"/>
          <w:sz w:val="22"/>
          <w:u w:val="none"/>
        </w:rPr>
        <w:t>Parties: (1) Meridian Growth Capital II L.P. (the "Lead Investor"); (2) the persons listed in Schedule 1 (the "Founders"); and (3) Trashi Digital Pte. Ltd. (the "Company"). The Lead Investor and the Founders are each an "Investor Party".</w:t>
      </w:r>
    </w:p>
    <w:p>
      <w:pPr>
        <w:spacing w:after="60" w:before="80"/>
      </w:pPr>
      <w:r>
        <w:rPr>
          <w:rFonts w:ascii="Times New Roman" w:hAnsi="Times New Roman"/>
          <w:b/>
          <w:i w:val="0"/>
          <w:strike w:val="0"/>
          <w:sz w:val="22"/>
          <w:u w:val="none"/>
        </w:rPr>
        <w:t xml:space="preserve">1. </w:t>
      </w:r>
      <w:r>
        <w:rPr>
          <w:rFonts w:ascii="Times New Roman" w:hAnsi="Times New Roman"/>
          <w:b/>
          <w:i w:val="0"/>
          <w:strike w:val="0"/>
          <w:sz w:val="22"/>
          <w:u w:val="none"/>
        </w:rPr>
        <w:t>Subscription</w:t>
      </w:r>
    </w:p>
    <w:p>
      <w:pPr>
        <w:spacing w:after="160" w:before="0"/>
        <w:jc w:val="both"/>
      </w:pPr>
      <w:r>
        <w:rPr>
          <w:rFonts w:ascii="Times New Roman" w:hAnsi="Times New Roman"/>
          <w:b w:val="0"/>
          <w:i w:val="0"/>
          <w:strike w:val="0"/>
          <w:sz w:val="22"/>
          <w:u w:val="none"/>
        </w:rPr>
        <w:t>The Lead Investor shall subscribe for 1,842,105 Series A Preference Shares at S$1.90 per share, representing approximately eighteen per cent (18%) of the enlarged issued share capital of the Company on a fully diluted basis, for an aggregate subscription price of S$3,500,000.</w:t>
      </w:r>
    </w:p>
    <w:p>
      <w:pPr>
        <w:spacing w:after="60" w:before="80"/>
      </w:pPr>
      <w:r>
        <w:rPr>
          <w:rFonts w:ascii="Times New Roman" w:hAnsi="Times New Roman"/>
          <w:b/>
          <w:i w:val="0"/>
          <w:strike w:val="0"/>
          <w:sz w:val="22"/>
          <w:u w:val="none"/>
        </w:rPr>
        <w:t xml:space="preserve">2. </w:t>
      </w:r>
      <w:r>
        <w:rPr>
          <w:rFonts w:ascii="Times New Roman" w:hAnsi="Times New Roman"/>
          <w:b/>
          <w:i w:val="0"/>
          <w:strike w:val="0"/>
          <w:sz w:val="22"/>
          <w:u w:val="none"/>
        </w:rPr>
        <w:t>Supervisory Board</w:t>
      </w:r>
    </w:p>
    <w:p>
      <w:pPr>
        <w:spacing w:after="160" w:before="0"/>
        <w:jc w:val="both"/>
      </w:pPr>
      <w:r>
        <w:rPr>
          <w:rFonts w:ascii="Times New Roman" w:hAnsi="Times New Roman"/>
          <w:b w:val="0"/>
          <w:i w:val="0"/>
          <w:strike w:val="0"/>
          <w:sz w:val="22"/>
          <w:u w:val="none"/>
        </w:rPr>
        <w:t>The Company shall maintain a board of directors (the "Supervisory Board") comprising four (4) directors. The Lead Investor may appoint one (1) director for so long as it holds not less than ten per cent (10%) of the issued share capital, and may replace that appointee at any time by written notice to the Company. The Founders may appoint two (2) directors. The fourth director shall be an independent director appointed by agreement between the Lead Investor and the Founders. For the avoidance of doubt, the Supervisory Board is the board of directors of the Company for all purposes of the Companies Act 1967.</w:t>
      </w:r>
    </w:p>
    <w:p>
      <w:pPr>
        <w:spacing w:after="80" w:before="0"/>
      </w:pPr>
      <w:r>
        <w:rPr>
          <w:rFonts w:ascii="Times New Roman" w:hAnsi="Times New Roman"/>
          <w:b/>
          <w:i w:val="0"/>
          <w:strike w:val="0"/>
          <w:sz w:val="22"/>
          <w:u w:val="none"/>
        </w:rPr>
        <w:t xml:space="preserve">3. </w:t>
      </w:r>
      <w:r>
        <w:rPr>
          <w:rFonts w:ascii="Times New Roman" w:hAnsi="Times New Roman"/>
          <w:b/>
          <w:i w:val="0"/>
          <w:strike w:val="0"/>
          <w:sz w:val="22"/>
          <w:u w:val="none"/>
        </w:rPr>
        <w:t>Consent Matters</w:t>
      </w:r>
    </w:p>
    <w:p>
      <w:pPr>
        <w:spacing w:after="40" w:before="0"/>
        <w:jc w:val="both"/>
      </w:pPr>
      <w:r>
        <w:rPr>
          <w:rFonts w:ascii="Times New Roman" w:hAnsi="Times New Roman"/>
          <w:b w:val="0"/>
          <w:i w:val="0"/>
          <w:strike w:val="0"/>
          <w:sz w:val="22"/>
          <w:u w:val="none"/>
        </w:rPr>
        <w:t>The Company shall not, and the Founders shall procure that the Company does not, without the prior written consent of the Lead Investor: (a) alter the constitution of the Company or the rights attaching to any class of shares; (b) create, issue or allot any shares or securities convertible into shares, other than under an employee share option plan approved under this clause; (c) incur indebtedness exceeding S$500,000 in aggregate; (d) approve or materially amend the annual budget or business plan; (e) declare or pay any dividend; (f) enter into, materially amend or terminate any transaction between the Company and a Founder, a director, or any person connected with either, otherwise than on arm's length terms; (g) dispose of any material part of the business or assets of the Company; (h) commence, settle or discontinue any litigation or arbitration where the amount in issue exceeds S$250,000; or (i) commence any winding up or enter into any scheme of arrangement.</w:t>
      </w:r>
    </w:p>
    <w:p>
      <w:pPr>
        <w:spacing w:after="200" w:before="0"/>
      </w:pPr>
      <w:r>
        <w:rPr>
          <w:rFonts w:ascii="Times New Roman" w:hAnsi="Times New Roman"/>
          <w:b/>
          <w:i/>
          <w:strike w:val="0"/>
          <w:sz w:val="20"/>
          <w:u w:val="none"/>
        </w:rPr>
        <w:t xml:space="preserve">Comment [R. Chandran, 15 Apr]: </w:t>
      </w:r>
      <w:r>
        <w:rPr>
          <w:rFonts w:ascii="Times New Roman" w:hAnsi="Times New Roman"/>
          <w:b w:val="0"/>
          <w:i/>
          <w:strike w:val="0"/>
          <w:sz w:val="20"/>
          <w:u w:val="none"/>
        </w:rPr>
        <w:t>Investor template had (c) at S$100,000, which would have required investor consent for routine equipment financing. Raised to S$500,000. Also added the arm's length carve-out at (f) — their draft caught every related-party transaction including the founders' own employment agreements.</w:t>
      </w:r>
    </w:p>
    <w:p>
      <w:pPr>
        <w:spacing w:after="80" w:before="0"/>
      </w:pPr>
      <w:r>
        <w:rPr>
          <w:rFonts w:ascii="Times New Roman" w:hAnsi="Times New Roman"/>
          <w:b/>
          <w:i w:val="0"/>
          <w:strike w:val="0"/>
          <w:sz w:val="22"/>
          <w:u w:val="none"/>
        </w:rPr>
        <w:t xml:space="preserve">4. </w:t>
      </w:r>
      <w:r>
        <w:rPr>
          <w:rFonts w:ascii="Times New Roman" w:hAnsi="Times New Roman"/>
          <w:b/>
          <w:i w:val="0"/>
          <w:strike w:val="0"/>
          <w:sz w:val="22"/>
          <w:u w:val="none"/>
        </w:rPr>
        <w:t>Restrictions on Dealing in Shares</w:t>
      </w:r>
    </w:p>
    <w:p>
      <w:pPr>
        <w:spacing w:after="120" w:before="0"/>
        <w:jc w:val="both"/>
      </w:pPr>
      <w:r>
        <w:rPr>
          <w:rFonts w:ascii="Times New Roman" w:hAnsi="Times New Roman"/>
          <w:b w:val="0"/>
          <w:i w:val="0"/>
          <w:strike w:val="0"/>
          <w:sz w:val="22"/>
          <w:u w:val="none"/>
        </w:rPr>
        <w:t>4.1</w:t>
        <w:tab/>
      </w:r>
      <w:r>
        <w:rPr>
          <w:rFonts w:ascii="Times New Roman" w:hAnsi="Times New Roman"/>
          <w:b w:val="0"/>
          <w:i w:val="0"/>
          <w:strike w:val="0"/>
          <w:sz w:val="22"/>
          <w:u w:val="none"/>
        </w:rPr>
        <w:t>No Founder shall transfer, or create any encumbrance over, any share without the prior written consent of the Lead Investor for a period of thirty-six (36) months from the date of this Deed.</w:t>
      </w:r>
    </w:p>
    <w:p>
      <w:pPr>
        <w:spacing w:after="120" w:before="0"/>
        <w:jc w:val="both"/>
      </w:pPr>
      <w:r>
        <w:rPr>
          <w:rFonts w:ascii="Times New Roman" w:hAnsi="Times New Roman"/>
          <w:b w:val="0"/>
          <w:i w:val="0"/>
          <w:strike w:val="0"/>
          <w:sz w:val="22"/>
          <w:u w:val="none"/>
        </w:rPr>
        <w:t>4.2</w:t>
        <w:tab/>
      </w:r>
      <w:r>
        <w:rPr>
          <w:rFonts w:ascii="Times New Roman" w:hAnsi="Times New Roman"/>
          <w:b w:val="0"/>
          <w:i w:val="0"/>
          <w:strike w:val="0"/>
          <w:sz w:val="22"/>
          <w:u w:val="none"/>
        </w:rPr>
        <w:t>Thereafter, a Founder wishing to transfer shares shall first offer them to the Lead Investor by written notice specifying the number of shares, the identity of the proposed transferee and the price and material terms. The Lead Investor may accept the offer in whole but not in part within twenty-one (21) days.</w:t>
      </w:r>
    </w:p>
    <w:p>
      <w:pPr>
        <w:spacing w:after="120" w:before="0"/>
        <w:jc w:val="both"/>
      </w:pPr>
      <w:r>
        <w:rPr>
          <w:rFonts w:ascii="Times New Roman" w:hAnsi="Times New Roman"/>
          <w:b w:val="0"/>
          <w:i w:val="0"/>
          <w:strike w:val="0"/>
          <w:sz w:val="22"/>
          <w:u w:val="none"/>
        </w:rPr>
        <w:t>4.3</w:t>
        <w:tab/>
      </w:r>
      <w:r>
        <w:rPr>
          <w:rFonts w:ascii="Times New Roman" w:hAnsi="Times New Roman"/>
          <w:b w:val="0"/>
          <w:i w:val="0"/>
          <w:strike w:val="0"/>
          <w:sz w:val="22"/>
          <w:u w:val="none"/>
        </w:rPr>
        <w:t>Where any Investor Party proposes to transfer shares to a third party, each other Investor Party shall be entitled to participate in that transfer on the same terms and pro rata to its shareholding (a "co-sale right").</w:t>
      </w:r>
    </w:p>
    <w:p>
      <w:pPr>
        <w:spacing w:after="120" w:before="0"/>
        <w:jc w:val="both"/>
      </w:pPr>
      <w:r>
        <w:rPr>
          <w:rFonts w:ascii="Times New Roman" w:hAnsi="Times New Roman"/>
          <w:b w:val="0"/>
          <w:i w:val="0"/>
          <w:strike w:val="0"/>
          <w:sz w:val="22"/>
          <w:u w:val="none"/>
        </w:rPr>
        <w:t>4.4</w:t>
        <w:tab/>
      </w:r>
      <w:r>
        <w:rPr>
          <w:rFonts w:ascii="Times New Roman" w:hAnsi="Times New Roman"/>
          <w:b w:val="0"/>
          <w:i w:val="0"/>
          <w:strike w:val="0"/>
          <w:sz w:val="22"/>
          <w:u w:val="none"/>
        </w:rPr>
        <w:t>Where holders of not less than seventy-five per cent (75%) of the issued share capital resolve to accept a bona fide offer for the entire issued share capital of the Company from an unconnected third party, they may require all remaining shareholders to sell their shares to that offeror on the same terms (a "compulsory sale right"). No remaining shareholder shall be required to give any warranty other than as to its own title and capacity.</w:t>
      </w:r>
    </w:p>
    <w:p>
      <w:pPr>
        <w:spacing w:after="200" w:before="0"/>
      </w:pPr>
      <w:r>
        <w:rPr>
          <w:rFonts w:ascii="Times New Roman" w:hAnsi="Times New Roman"/>
          <w:b/>
          <w:i/>
          <w:strike w:val="0"/>
          <w:sz w:val="20"/>
          <w:u w:val="none"/>
        </w:rPr>
        <w:t xml:space="preserve">Comment [J. Wee, 16 Apr]: </w:t>
      </w:r>
      <w:r>
        <w:rPr>
          <w:rFonts w:ascii="Times New Roman" w:hAnsi="Times New Roman"/>
          <w:b w:val="0"/>
          <w:i/>
          <w:strike w:val="0"/>
          <w:sz w:val="20"/>
          <w:u w:val="none"/>
        </w:rPr>
        <w:t>4.4 is a drag-along in all but name and 4.3 is a tag-along. Their template avoids both labels. Keep their vocabulary in the deed but flag it in the closing note so that whoever inherits this file can find it — nobody searching our system for "drag-along" will ever surface this document otherwise.</w:t>
      </w:r>
    </w:p>
    <w:p>
      <w:pPr>
        <w:spacing w:after="60" w:before="80"/>
      </w:pPr>
      <w:r>
        <w:rPr>
          <w:rFonts w:ascii="Times New Roman" w:hAnsi="Times New Roman"/>
          <w:b/>
          <w:i w:val="0"/>
          <w:strike w:val="0"/>
          <w:sz w:val="22"/>
          <w:u w:val="none"/>
        </w:rPr>
        <w:t xml:space="preserve">5. </w:t>
      </w:r>
      <w:r>
        <w:rPr>
          <w:rFonts w:ascii="Times New Roman" w:hAnsi="Times New Roman"/>
          <w:b/>
          <w:i w:val="0"/>
          <w:strike w:val="0"/>
          <w:sz w:val="22"/>
          <w:u w:val="none"/>
        </w:rPr>
        <w:t>Anti-Dilution</w:t>
      </w:r>
    </w:p>
    <w:p>
      <w:pPr>
        <w:spacing w:after="160" w:before="0"/>
        <w:jc w:val="both"/>
      </w:pPr>
      <w:r>
        <w:rPr>
          <w:rFonts w:ascii="Times New Roman" w:hAnsi="Times New Roman"/>
          <w:b w:val="0"/>
          <w:i w:val="0"/>
          <w:strike w:val="0"/>
          <w:sz w:val="22"/>
          <w:u w:val="none"/>
        </w:rPr>
        <w:t>If the Company issues shares at a price per share lower than the Series A subscription price, the conversion price applicable to the Series A Preference Shares shall be adjusted on a broad-based weighted average basis. No adjustment shall be made in respect of shares issued under an employee share option plan, on conversion of the Series A Preference Shares, or in connection with a bona fide commercial arrangement approved as a Consent Matter.</w:t>
      </w:r>
    </w:p>
    <w:p>
      <w:pPr>
        <w:spacing w:after="60" w:before="80"/>
      </w:pPr>
      <w:r>
        <w:rPr>
          <w:rFonts w:ascii="Times New Roman" w:hAnsi="Times New Roman"/>
          <w:b/>
          <w:i w:val="0"/>
          <w:strike w:val="0"/>
          <w:sz w:val="22"/>
          <w:u w:val="none"/>
        </w:rPr>
        <w:t xml:space="preserve">6. </w:t>
      </w:r>
      <w:r>
        <w:rPr>
          <w:rFonts w:ascii="Times New Roman" w:hAnsi="Times New Roman"/>
          <w:b/>
          <w:i w:val="0"/>
          <w:strike w:val="0"/>
          <w:sz w:val="22"/>
          <w:u w:val="none"/>
        </w:rPr>
        <w:t>Founder Undertakings</w:t>
      </w:r>
    </w:p>
    <w:p>
      <w:pPr>
        <w:spacing w:after="160" w:before="0"/>
        <w:jc w:val="both"/>
      </w:pPr>
      <w:r>
        <w:rPr>
          <w:rFonts w:ascii="Times New Roman" w:hAnsi="Times New Roman"/>
          <w:b w:val="0"/>
          <w:i w:val="0"/>
          <w:strike w:val="0"/>
          <w:sz w:val="22"/>
          <w:u w:val="none"/>
        </w:rPr>
        <w:t>Each Founder shall devote substantially the whole of his or her working time to the business of the Company, and shall not for the duration of this Deed and for twelve (12) months thereafter engage in any business in Singapore competing with the business of the Company or solicit any employee or customer of the Company.</w:t>
      </w:r>
    </w:p>
    <w:p>
      <w:pPr>
        <w:spacing w:after="60" w:before="80"/>
      </w:pPr>
      <w:r>
        <w:rPr>
          <w:rFonts w:ascii="Times New Roman" w:hAnsi="Times New Roman"/>
          <w:b/>
          <w:i w:val="0"/>
          <w:strike w:val="0"/>
          <w:sz w:val="22"/>
          <w:u w:val="none"/>
        </w:rPr>
        <w:t xml:space="preserve">7. </w:t>
      </w:r>
      <w:r>
        <w:rPr>
          <w:rFonts w:ascii="Times New Roman" w:hAnsi="Times New Roman"/>
          <w:b/>
          <w:i w:val="0"/>
          <w:strike w:val="0"/>
          <w:sz w:val="22"/>
          <w:u w:val="none"/>
        </w:rPr>
        <w:t>Deadlock and Escalation</w:t>
      </w:r>
    </w:p>
    <w:p>
      <w:pPr>
        <w:spacing w:after="160" w:before="0"/>
        <w:jc w:val="both"/>
      </w:pPr>
      <w:r>
        <w:rPr>
          <w:rFonts w:ascii="Times New Roman" w:hAnsi="Times New Roman"/>
          <w:b w:val="0"/>
          <w:i w:val="0"/>
          <w:strike w:val="0"/>
          <w:sz w:val="22"/>
          <w:u w:val="none"/>
        </w:rPr>
        <w:t>Where the Lead Investor withholds consent to a Consent Matter and the Supervisory Board considers that the matter is necessary for the proper conduct of the business, the matter shall be referred to the chief executive officer of the Company and the senior investment officer of the Lead Investor for resolution in good faith within twenty-one (21) days. Failing resolution, either party may refer the matter to mediation administered by the Singapore International Mediation Centre before commencing any other proceedings.</w:t>
      </w:r>
    </w:p>
    <w:p>
      <w:pPr>
        <w:spacing w:after="60" w:before="80"/>
      </w:pPr>
      <w:r>
        <w:rPr>
          <w:rFonts w:ascii="Times New Roman" w:hAnsi="Times New Roman"/>
          <w:b/>
          <w:i w:val="0"/>
          <w:strike w:val="0"/>
          <w:sz w:val="22"/>
          <w:u w:val="none"/>
        </w:rPr>
        <w:t xml:space="preserve">8. </w:t>
      </w:r>
      <w:r>
        <w:rPr>
          <w:rFonts w:ascii="Times New Roman" w:hAnsi="Times New Roman"/>
          <w:b/>
          <w:i w:val="0"/>
          <w:strike w:val="0"/>
          <w:sz w:val="22"/>
          <w:u w:val="none"/>
        </w:rPr>
        <w:t>Rights of Third Parties</w:t>
      </w:r>
    </w:p>
    <w:p>
      <w:pPr>
        <w:spacing w:after="160" w:before="0"/>
        <w:jc w:val="both"/>
      </w:pPr>
      <w:r>
        <w:rPr>
          <w:rFonts w:ascii="Times New Roman" w:hAnsi="Times New Roman"/>
          <w:b w:val="0"/>
          <w:i w:val="0"/>
          <w:strike w:val="0"/>
          <w:sz w:val="22"/>
          <w:u w:val="none"/>
        </w:rPr>
        <w:t>A person who is not a party to this Deed has no rights under the Contracts (Rights of Third Parties) Act 2001 to enforce any term of this Deed.</w:t>
      </w:r>
    </w:p>
    <w:p>
      <w:pPr>
        <w:spacing w:after="60" w:before="80"/>
      </w:pPr>
      <w:r>
        <w:rPr>
          <w:rFonts w:ascii="Times New Roman" w:hAnsi="Times New Roman"/>
          <w:b/>
          <w:i w:val="0"/>
          <w:strike w:val="0"/>
          <w:sz w:val="22"/>
          <w:u w:val="none"/>
        </w:rPr>
        <w:t xml:space="preserve">9. </w:t>
      </w:r>
      <w:r>
        <w:rPr>
          <w:rFonts w:ascii="Times New Roman" w:hAnsi="Times New Roman"/>
          <w:b/>
          <w:i w:val="0"/>
          <w:strike w:val="0"/>
          <w:sz w:val="22"/>
          <w:u w:val="none"/>
        </w:rPr>
        <w:t>Governing Law and Jurisdiction</w:t>
      </w:r>
    </w:p>
    <w:p>
      <w:pPr>
        <w:spacing w:after="160" w:before="0"/>
        <w:jc w:val="both"/>
      </w:pPr>
      <w:r>
        <w:rPr>
          <w:rFonts w:ascii="Times New Roman" w:hAnsi="Times New Roman"/>
          <w:b w:val="0"/>
          <w:i w:val="0"/>
          <w:strike w:val="0"/>
          <w:sz w:val="22"/>
          <w:u w:val="none"/>
        </w:rPr>
        <w:t>This Deed is governed by the laws of Singapore. Subject to clause 7, the parties submit to the exclusive jurisdiction of the courts of Singapore.</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