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Times New Roman" w:hAnsi="Times New Roman"/>
          <w:b/>
          <w:i w:val="0"/>
          <w:strike w:val="0"/>
          <w:sz w:val="26"/>
          <w:u w:val="none"/>
        </w:rPr>
        <w:t>WEE CORPORATE LAW LLC</w:t>
      </w:r>
    </w:p>
    <w:p>
      <w:pPr>
        <w:spacing w:after="120" w:before="0"/>
        <w:jc w:val="center"/>
      </w:pPr>
      <w:r>
        <w:rPr>
          <w:rFonts w:ascii="Times New Roman" w:hAnsi="Times New Roman"/>
          <w:b/>
          <w:i w:val="0"/>
          <w:strike w:val="0"/>
          <w:sz w:val="26"/>
          <w:u w:val="none"/>
        </w:rPr>
        <w:t>INTERNAL MEMORANDUM</w:t>
      </w:r>
    </w:p>
    <w:p>
      <w:pPr>
        <w:spacing w:after="120" w:before="0"/>
      </w:pPr>
    </w:p>
    <w:p>
      <w:pPr>
        <w:spacing w:after="40" w:before="0"/>
      </w:pPr>
      <w:r>
        <w:rPr>
          <w:rFonts w:ascii="Times New Roman" w:hAnsi="Times New Roman"/>
          <w:b/>
          <w:i w:val="0"/>
          <w:strike w:val="0"/>
          <w:sz w:val="22"/>
          <w:u w:val="none"/>
        </w:rPr>
        <w:t>Matter: MAT-2026-0473 — Trashi Digital Series A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trike w:val="0"/>
          <w:sz w:val="22"/>
          <w:u w:val="none"/>
        </w:rPr>
        <w:t>From: R. Chandran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trike w:val="0"/>
          <w:sz w:val="22"/>
          <w:u w:val="none"/>
        </w:rPr>
        <w:t>To: J. Wee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trike w:val="0"/>
          <w:sz w:val="22"/>
          <w:u w:val="none"/>
        </w:rPr>
        <w:t>Date: 21 May 2026</w:t>
      </w:r>
    </w:p>
    <w:p>
      <w:pPr>
        <w:spacing w:after="120" w:before="0"/>
      </w:pPr>
    </w:p>
    <w:p>
      <w:pPr>
        <w:spacing w:after="120" w:before="0"/>
        <w:jc w:val="both"/>
      </w:pPr>
      <w:r>
        <w:rPr>
          <w:rFonts w:ascii="Times New Roman" w:hAnsi="Times New Roman"/>
          <w:b w:val="0"/>
          <w:i w:val="0"/>
          <w:strike w:val="0"/>
          <w:sz w:val="22"/>
          <w:u w:val="none"/>
        </w:rPr>
        <w:t>Jonathan,</w:t>
      </w:r>
    </w:p>
    <w:p>
      <w:pPr>
        <w:spacing w:after="120" w:before="0"/>
        <w:jc w:val="both"/>
      </w:pPr>
      <w:r>
        <w:rPr>
          <w:rFonts w:ascii="Times New Roman" w:hAnsi="Times New Roman"/>
          <w:b w:val="0"/>
          <w:i w:val="0"/>
          <w:strike w:val="0"/>
          <w:sz w:val="22"/>
          <w:u w:val="none"/>
        </w:rPr>
        <w:t>Completion done. Updated capitalisation table attached separately: Founders 61.4%, Lead Investor 18.0%, seed investors 14.6%, ESOP pool 6.0% on a fully diluted basis. Share certificates issued and ACRA lodgement filed 21 May.</w:t>
      </w:r>
    </w:p>
    <w:p>
      <w:pPr>
        <w:spacing w:after="120" w:before="0"/>
        <w:jc w:val="both"/>
      </w:pPr>
      <w:r>
        <w:rPr>
          <w:rFonts w:ascii="Times New Roman" w:hAnsi="Times New Roman"/>
          <w:b w:val="0"/>
          <w:i w:val="0"/>
          <w:strike w:val="0"/>
          <w:sz w:val="22"/>
          <w:u w:val="none"/>
        </w:rPr>
        <w:t>Per your note of 16 April, flagging for the knowledge file: this deed contains what are functionally a tag-along (clause 4.3, "co-sale right"), a drag-along (clause 4.4, "compulsory sale right"), a reserved matters list (clause 3, "Consent Matters") and an investor board seat (clause 2, "Supervisory Board"). The deed is a shareholders agreement in substance. If it is filed under its own title only, nobody will find it.</w:t>
      </w:r>
    </w:p>
    <w:p>
      <w:pPr>
        <w:spacing w:after="120" w:before="0"/>
        <w:jc w:val="both"/>
      </w:pPr>
      <w:r>
        <w:rPr>
          <w:rFonts w:ascii="Times New Roman" w:hAnsi="Times New Roman"/>
          <w:b w:val="0"/>
          <w:i w:val="0"/>
          <w:strike w:val="0"/>
          <w:sz w:val="22"/>
          <w:u w:val="none"/>
        </w:rPr>
        <w:t>Also note the fee estimate for the Series B, whenever it comes, should assume we convert to the firm's own house documents rather than continuing on the investor template.</w:t>
      </w:r>
    </w:p>
    <w:p>
      <w:pPr>
        <w:spacing w:after="120" w:before="0"/>
        <w:jc w:val="both"/>
      </w:pPr>
      <w:r>
        <w:rPr>
          <w:rFonts w:ascii="Times New Roman" w:hAnsi="Times New Roman"/>
          <w:b w:val="0"/>
          <w:i w:val="0"/>
          <w:strike w:val="0"/>
          <w:sz w:val="22"/>
          <w:u w:val="none"/>
        </w:rPr>
        <w:t>Ramesh</w:t>
      </w:r>
    </w:p>
    <w:sectPr w:rsidR="00FC693F" w:rsidRPr="0006063C" w:rsidSect="00034616"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