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EMPLOYMENT AGREEMENT</w:t>
      </w:r>
    </w:p>
    <w:p>
      <w:pPr>
        <w:spacing w:after="120" w:before="0"/>
        <w:jc w:val="center"/>
      </w:pPr>
      <w:r>
        <w:rPr>
          <w:rFonts w:ascii="Times New Roman" w:hAnsi="Times New Roman"/>
          <w:b w:val="0"/>
          <w:i/>
          <w:strike w:val="0"/>
          <w:sz w:val="22"/>
          <w:u w:val="none"/>
        </w:rPr>
        <w:t>(Execution Version — 25 July 2026)</w:t>
      </w:r>
    </w:p>
    <w:p>
      <w:pPr>
        <w:spacing w:after="120" w:before="0"/>
      </w:pPr>
    </w:p>
    <w:p>
      <w:pPr>
        <w:spacing w:after="120" w:before="0"/>
        <w:jc w:val="both"/>
      </w:pPr>
      <w:r>
        <w:rPr>
          <w:rFonts w:ascii="Times New Roman" w:hAnsi="Times New Roman"/>
          <w:b w:val="0"/>
          <w:i w:val="0"/>
          <w:strike w:val="0"/>
          <w:sz w:val="22"/>
          <w:u w:val="none"/>
        </w:rPr>
        <w:t>Parties: (1) Pratim Logistics Pte. Ltd. (the "Company"); and (2) Marcus Teo Wei Sheng (the "Executive").</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Position and Duties</w:t>
      </w:r>
    </w:p>
    <w:p>
      <w:pPr>
        <w:spacing w:after="160" w:before="0"/>
        <w:jc w:val="both"/>
      </w:pPr>
      <w:r>
        <w:rPr>
          <w:rFonts w:ascii="Times New Roman" w:hAnsi="Times New Roman"/>
          <w:b w:val="0"/>
          <w:i w:val="0"/>
          <w:strike w:val="0"/>
          <w:sz w:val="22"/>
          <w:u w:val="none"/>
        </w:rPr>
        <w:t>The Executive shall serve as Chief Operating Officer, reporting to the Chief Executive Officer, and shall devote the whole of his working time and attention to the business of the Company.</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Remuneration</w:t>
      </w:r>
    </w:p>
    <w:p>
      <w:pPr>
        <w:spacing w:after="160" w:before="0"/>
        <w:jc w:val="both"/>
      </w:pPr>
      <w:r>
        <w:rPr>
          <w:rFonts w:ascii="Times New Roman" w:hAnsi="Times New Roman"/>
          <w:b w:val="0"/>
          <w:i w:val="0"/>
          <w:strike w:val="0"/>
          <w:sz w:val="22"/>
          <w:u w:val="none"/>
        </w:rPr>
        <w:t>The Company shall pay the Executive a gross annual salary of S$285,000, payable monthly in arrears, together with a discretionary annual bonus of up to forty per cent (40%) of base salary determined by reference to individual and company performance.</w:t>
      </w:r>
    </w:p>
    <w:p>
      <w:pPr>
        <w:spacing w:after="60" w:before="80"/>
      </w:pPr>
      <w:r>
        <w:rPr>
          <w:rFonts w:ascii="Times New Roman" w:hAnsi="Times New Roman"/>
          <w:b/>
          <w:i w:val="0"/>
          <w:strike w:val="0"/>
          <w:sz w:val="22"/>
          <w:u w:val="none"/>
        </w:rPr>
        <w:t xml:space="preserve">3. </w:t>
      </w:r>
      <w:r>
        <w:rPr>
          <w:rFonts w:ascii="Times New Roman" w:hAnsi="Times New Roman"/>
          <w:b/>
          <w:i w:val="0"/>
          <w:strike w:val="0"/>
          <w:sz w:val="22"/>
          <w:u w:val="none"/>
        </w:rPr>
        <w:t>Confidential Information</w:t>
      </w:r>
    </w:p>
    <w:p>
      <w:pPr>
        <w:spacing w:after="160" w:before="0"/>
        <w:jc w:val="both"/>
      </w:pPr>
      <w:r>
        <w:rPr>
          <w:rFonts w:ascii="Times New Roman" w:hAnsi="Times New Roman"/>
          <w:b w:val="0"/>
          <w:i w:val="0"/>
          <w:strike w:val="0"/>
          <w:sz w:val="22"/>
          <w:u w:val="none"/>
        </w:rPr>
        <w:t>The Executive shall not, during his employment or at any time afterwards, use or disclose any confidential information of the Company, save as required in the proper performance of his duties or by law. Confidential information does not include information that enters the public domain otherwise than through the Executive's breach, or information constituting the Executive's own general skill and knowledge.</w:t>
      </w:r>
    </w:p>
    <w:p>
      <w:pPr>
        <w:spacing w:after="60" w:before="80"/>
      </w:pPr>
      <w:r>
        <w:rPr>
          <w:rFonts w:ascii="Times New Roman" w:hAnsi="Times New Roman"/>
          <w:b/>
          <w:i w:val="0"/>
          <w:strike w:val="0"/>
          <w:sz w:val="22"/>
          <w:u w:val="none"/>
        </w:rPr>
        <w:t xml:space="preserve">4. </w:t>
      </w:r>
      <w:r>
        <w:rPr>
          <w:rFonts w:ascii="Times New Roman" w:hAnsi="Times New Roman"/>
          <w:b/>
          <w:i w:val="0"/>
          <w:strike w:val="0"/>
          <w:sz w:val="22"/>
          <w:u w:val="none"/>
        </w:rPr>
        <w:t>Restrictive Covenants</w:t>
      </w:r>
    </w:p>
    <w:p>
      <w:pPr>
        <w:spacing w:after="160" w:before="0"/>
        <w:jc w:val="both"/>
      </w:pPr>
      <w:r>
        <w:rPr>
          <w:rFonts w:ascii="Times New Roman" w:hAnsi="Times New Roman"/>
          <w:b w:val="0"/>
          <w:i w:val="0"/>
          <w:strike w:val="0"/>
          <w:sz w:val="22"/>
          <w:u w:val="none"/>
        </w:rPr>
        <w:t>For a period of twelve (12) months following the termination of his employment, or if that period is held unenforceable, nine (9) months, or if that period is held unenforceable, six (6) months, the Executive shall not within Singapore: (a) be engaged in any business competing with any part of the business of the Company with which he was materially concerned in the twelve (12) months before termination; (b) solicit or deal with any customer of the Company with whom he had material dealings in that period; or (c) solicit or employ any employee of the Company of managerial grade or above with whom he worked in that period. Each restraint in this clause is separate and severable, and the invalidity of any one shall not affect the others.</w:t>
      </w:r>
    </w:p>
    <w:p>
      <w:pPr>
        <w:spacing w:after="60" w:before="80"/>
      </w:pPr>
      <w:r>
        <w:rPr>
          <w:rFonts w:ascii="Times New Roman" w:hAnsi="Times New Roman"/>
          <w:b/>
          <w:i w:val="0"/>
          <w:strike w:val="0"/>
          <w:sz w:val="22"/>
          <w:u w:val="none"/>
        </w:rPr>
        <w:t xml:space="preserve">5. </w:t>
      </w:r>
      <w:r>
        <w:rPr>
          <w:rFonts w:ascii="Times New Roman" w:hAnsi="Times New Roman"/>
          <w:b/>
          <w:i w:val="0"/>
          <w:strike w:val="0"/>
          <w:sz w:val="22"/>
          <w:u w:val="none"/>
        </w:rPr>
        <w:t>Garden Leave</w:t>
      </w:r>
    </w:p>
    <w:p>
      <w:pPr>
        <w:spacing w:after="160" w:before="0"/>
        <w:jc w:val="both"/>
      </w:pPr>
      <w:r>
        <w:rPr>
          <w:rFonts w:ascii="Times New Roman" w:hAnsi="Times New Roman"/>
          <w:b w:val="0"/>
          <w:i w:val="0"/>
          <w:strike w:val="0"/>
          <w:sz w:val="22"/>
          <w:u w:val="none"/>
        </w:rPr>
        <w:t>The Company may during any notice period require the Executive not to attend at his place of work and not to contact any customer, supplier or employee of the Company, provided that the Executive shall continue to receive his salary and contractual benefits during that period. Any period of garden leave shall be set off against the periods in clause 4.</w:t>
      </w:r>
    </w:p>
    <w:p>
      <w:pPr>
        <w:spacing w:after="60" w:before="80"/>
      </w:pPr>
      <w:r>
        <w:rPr>
          <w:rFonts w:ascii="Times New Roman" w:hAnsi="Times New Roman"/>
          <w:b/>
          <w:i w:val="0"/>
          <w:strike w:val="0"/>
          <w:sz w:val="22"/>
          <w:u w:val="none"/>
        </w:rPr>
        <w:t xml:space="preserve">6. </w:t>
      </w:r>
      <w:r>
        <w:rPr>
          <w:rFonts w:ascii="Times New Roman" w:hAnsi="Times New Roman"/>
          <w:b/>
          <w:i w:val="0"/>
          <w:strike w:val="0"/>
          <w:sz w:val="22"/>
          <w:u w:val="none"/>
        </w:rPr>
        <w:t>Governing Law</w:t>
      </w:r>
    </w:p>
    <w:p>
      <w:pPr>
        <w:spacing w:after="160" w:before="0"/>
        <w:jc w:val="both"/>
      </w:pPr>
      <w:r>
        <w:rPr>
          <w:rFonts w:ascii="Times New Roman" w:hAnsi="Times New Roman"/>
          <w:b w:val="0"/>
          <w:i w:val="0"/>
          <w:strike w:val="0"/>
          <w:sz w:val="22"/>
          <w:u w:val="none"/>
        </w:rPr>
        <w:t>This Agreement is governed by and shall be construed in accordance with the laws of Singapore.</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