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Times New Roman" w:hAnsi="Times New Roman"/>
          <w:b/>
          <w:i/>
          <w:strike w:val="0"/>
          <w:sz w:val="20"/>
          <w:u w:val="none"/>
        </w:rPr>
        <w:t>FIRST DRAFT — CIRCULATED FOR PARTNER REVIEW 14 JULY 2026 — NOT FOR ONWARD CIRCULATION</w:t>
      </w:r>
    </w:p>
    <w:p>
      <w:pPr>
        <w:spacing w:after="120" w:before="0"/>
        <w:jc w:val="center"/>
      </w:pPr>
      <w:r>
        <w:rPr>
          <w:rFonts w:ascii="Times New Roman" w:hAnsi="Times New Roman"/>
          <w:b/>
          <w:i w:val="0"/>
          <w:strike w:val="0"/>
          <w:sz w:val="26"/>
          <w:u w:val="none"/>
        </w:rPr>
        <w:t>SHAREHOLDERS AGREEMENT</w:t>
      </w:r>
    </w:p>
    <w:p>
      <w:pPr>
        <w:spacing w:after="120" w:before="0"/>
        <w:jc w:val="center"/>
      </w:pPr>
      <w:r>
        <w:rPr>
          <w:rFonts w:ascii="Times New Roman" w:hAnsi="Times New Roman"/>
          <w:b w:val="0"/>
          <w:i/>
          <w:strike w:val="0"/>
          <w:sz w:val="22"/>
          <w:u w:val="none"/>
        </w:rPr>
        <w:t>relating to</w:t>
      </w:r>
    </w:p>
    <w:p>
      <w:pPr>
        <w:spacing w:after="120" w:before="0"/>
        <w:jc w:val="center"/>
      </w:pPr>
      <w:r>
        <w:rPr>
          <w:rFonts w:ascii="Times New Roman" w:hAnsi="Times New Roman"/>
          <w:b/>
          <w:i w:val="0"/>
          <w:strike w:val="0"/>
          <w:sz w:val="26"/>
          <w:u w:val="none"/>
        </w:rPr>
        <w:t>AURORA VENTURES PTE. LTD.</w:t>
      </w:r>
    </w:p>
    <w:p>
      <w:pPr>
        <w:spacing w:after="120" w:before="0"/>
      </w:pPr>
    </w:p>
    <w:p>
      <w:pPr>
        <w:spacing w:after="120" w:before="0"/>
        <w:jc w:val="both"/>
      </w:pPr>
      <w:r>
        <w:rPr>
          <w:rFonts w:ascii="Times New Roman" w:hAnsi="Times New Roman"/>
          <w:b w:val="0"/>
          <w:i w:val="0"/>
          <w:strike w:val="0"/>
          <w:sz w:val="22"/>
          <w:u w:val="none"/>
        </w:rPr>
        <w:t>Parties: (1) Maximus Retail Group Pte. Ltd. (Company Registration No. 201133421K), whose registered office is at 8 Viridian Road, #08-08, Champions Tower, Singapore 518815 ("Maximus"); (2) Trashi Digital Pte. Ltd. (Company Registration No. 202004417M), whose registered office is at 18 Pallet Road, #01-11, Harbourfront Tower, Singapore 185285 ("Trashi"); and (3) Aurora Ventures Pte. Ltd. (Company Registration No. 202611908E) (the "Company"). Maximus and Trashi are each a "Shareholder" and collectively the "Shareholders".</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Business of the Company</w:t>
      </w:r>
    </w:p>
    <w:p>
      <w:pPr>
        <w:spacing w:after="160" w:before="0"/>
        <w:jc w:val="both"/>
      </w:pPr>
      <w:r>
        <w:rPr>
          <w:rFonts w:ascii="Times New Roman" w:hAnsi="Times New Roman"/>
          <w:b w:val="0"/>
          <w:i w:val="0"/>
          <w:strike w:val="0"/>
          <w:sz w:val="22"/>
          <w:u w:val="none"/>
        </w:rPr>
        <w:t>The business of the Company shall be to hold the exclusive Singapore distributorship for the Folklore collectible merchandise range and to develop, operate and carry on that business (the "Business"). The Company shall not carry on any other business without a Reserved Matter Approval.</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Shareholding and Capital Commitment</w:t>
      </w:r>
    </w:p>
    <w:p>
      <w:pPr>
        <w:spacing w:after="160" w:before="0"/>
        <w:jc w:val="both"/>
      </w:pPr>
      <w:r>
        <w:rPr>
          <w:rFonts w:ascii="Times New Roman" w:hAnsi="Times New Roman"/>
          <w:b w:val="0"/>
          <w:i w:val="0"/>
          <w:strike w:val="0"/>
          <w:sz w:val="22"/>
          <w:u w:val="none"/>
        </w:rPr>
        <w:t>The issued share capital of the Company shall be held as to sixty-five per cent (65%) by Maximus and thirty-five per cent (35%) by Trashi (the "Agreed JV Proportion"). The Shareholders shall make aggregate capital commitments of up to S$180,000,000, to be drawn down in one or more capital calls by way of subscription for preference shares and/or the provision of shareholder loans. Any increase in the aggregate capital commitments beyond that amount shall require a Reserved Matter Approval.</w:t>
      </w:r>
    </w:p>
    <w:p>
      <w:pPr>
        <w:spacing w:after="80" w:before="0"/>
      </w:pPr>
      <w:r>
        <w:rPr>
          <w:rFonts w:ascii="Times New Roman" w:hAnsi="Times New Roman"/>
          <w:b/>
          <w:i w:val="0"/>
          <w:strike w:val="0"/>
          <w:sz w:val="22"/>
          <w:u w:val="none"/>
        </w:rPr>
        <w:t xml:space="preserve">3. </w:t>
      </w:r>
      <w:r>
        <w:rPr>
          <w:rFonts w:ascii="Times New Roman" w:hAnsi="Times New Roman"/>
          <w:b/>
          <w:i w:val="0"/>
          <w:strike w:val="0"/>
          <w:sz w:val="22"/>
          <w:u w:val="none"/>
        </w:rPr>
        <w:t>Board Composition and Proceedings</w:t>
      </w:r>
    </w:p>
    <w:p>
      <w:pPr>
        <w:spacing w:after="40" w:before="0"/>
        <w:jc w:val="both"/>
      </w:pPr>
      <w:r>
        <w:rPr>
          <w:rFonts w:ascii="Times New Roman" w:hAnsi="Times New Roman"/>
          <w:b w:val="0"/>
          <w:i w:val="0"/>
          <w:strike w:val="0"/>
          <w:sz w:val="22"/>
          <w:u w:val="none"/>
        </w:rPr>
        <w:t xml:space="preserve">The Board shall comprise five (5) directors. Maximus may nominate three (3) directors and Trashi may nominate two (2). </w:t>
      </w:r>
      <w:r>
        <w:rPr>
          <w:rFonts w:ascii="Times New Roman" w:hAnsi="Times New Roman"/>
          <w:b w:val="0"/>
          <w:i w:val="0"/>
          <w:strike/>
          <w:sz w:val="22"/>
          <w:u w:val="none"/>
        </w:rPr>
        <w:t>The chairperson shall be nominated by Trashi and shall have a casting vote.</w:t>
      </w:r>
      <w:r>
        <w:rPr>
          <w:rFonts w:ascii="Times New Roman" w:hAnsi="Times New Roman"/>
          <w:b w:val="0"/>
          <w:i w:val="0"/>
          <w:strike w:val="0"/>
          <w:sz w:val="22"/>
          <w:u w:val="none"/>
        </w:rPr>
        <w:t xml:space="preserve"> </w:t>
      </w:r>
      <w:r>
        <w:rPr>
          <w:rFonts w:ascii="Times New Roman" w:hAnsi="Times New Roman"/>
          <w:b w:val="0"/>
          <w:i w:val="0"/>
          <w:strike w:val="0"/>
          <w:sz w:val="22"/>
          <w:u w:val="single"/>
        </w:rPr>
        <w:t>The chairperson shall be nominated by Trashi and shall not have a second or casting vote.</w:t>
      </w:r>
      <w:r>
        <w:rPr>
          <w:rFonts w:ascii="Times New Roman" w:hAnsi="Times New Roman"/>
          <w:b w:val="0"/>
          <w:i w:val="0"/>
          <w:strike w:val="0"/>
          <w:sz w:val="22"/>
          <w:u w:val="none"/>
        </w:rPr>
        <w:t xml:space="preserve"> The quorum for any meeting of the Board shall be a majority of the directors then in office, which majority must include at least one (1) director nominated by each Shareholder. Save where waived in writing by all directors, not less than fourteen (14) calendar days' written notice of each meeting, accompanied by an agenda and copies of all relevant papers, shall be given to all directors.</w:t>
      </w:r>
    </w:p>
    <w:p>
      <w:pPr>
        <w:spacing w:after="200" w:before="0"/>
      </w:pPr>
      <w:r>
        <w:rPr>
          <w:rFonts w:ascii="Times New Roman" w:hAnsi="Times New Roman"/>
          <w:b/>
          <w:i/>
          <w:strike w:val="0"/>
          <w:sz w:val="20"/>
          <w:u w:val="none"/>
        </w:rPr>
        <w:t xml:space="preserve">Comment [J. Wee, 15 Jul]: </w:t>
      </w:r>
      <w:r>
        <w:rPr>
          <w:rFonts w:ascii="Times New Roman" w:hAnsi="Times New Roman"/>
          <w:b w:val="0"/>
          <w:i/>
          <w:strike w:val="0"/>
          <w:sz w:val="20"/>
          <w:u w:val="none"/>
        </w:rPr>
        <w:t>A casting vote in the chair combined with a 3-2 board is incoherent — it hands Trashi a tie-break it can never use, and if the board size ever changes it becomes a live problem. Term sheet says no casting vote. Conform to the term sheet.</w:t>
      </w:r>
    </w:p>
    <w:p>
      <w:pPr>
        <w:spacing w:after="80" w:before="0"/>
      </w:pPr>
      <w:r>
        <w:rPr>
          <w:rFonts w:ascii="Times New Roman" w:hAnsi="Times New Roman"/>
          <w:b/>
          <w:i w:val="0"/>
          <w:strike w:val="0"/>
          <w:sz w:val="22"/>
          <w:u w:val="none"/>
        </w:rPr>
        <w:t xml:space="preserve">4. </w:t>
      </w:r>
      <w:r>
        <w:rPr>
          <w:rFonts w:ascii="Times New Roman" w:hAnsi="Times New Roman"/>
          <w:b/>
          <w:i w:val="0"/>
          <w:strike w:val="0"/>
          <w:sz w:val="22"/>
          <w:u w:val="none"/>
        </w:rPr>
        <w:t>Reserved Matters</w:t>
      </w:r>
    </w:p>
    <w:p>
      <w:pPr>
        <w:spacing w:after="40" w:before="0"/>
        <w:jc w:val="both"/>
      </w:pPr>
      <w:r>
        <w:rPr>
          <w:rFonts w:ascii="Times New Roman" w:hAnsi="Times New Roman"/>
          <w:b w:val="0"/>
          <w:i w:val="0"/>
          <w:strike w:val="0"/>
          <w:sz w:val="22"/>
          <w:u w:val="none"/>
        </w:rPr>
        <w:t>The following matters (the "Reserved Matters") shall require the unanimous approval of the Shareholders (each such approval, a "Reserved Matter Approval"): (a) any amendment to this Agreement or to the constitution of the Company; (b) any external financing and the key terms thereof, including principal amount, interest rate and security; (c) the approval of, or any material amendment to, the annual budget and business plan; (d) the appointment and removal of the auditors; (e) the entry into, or any material amendment to, the Distributorship Agreement; (f) the dividend distribution policy and any change thereto; (g) the admission of any additional shareholder; (h) the winding up of the Company or the adoption of any exit plan; (i) the entry into, or any material amendment, waiver or termination of, any contract between the Company and a Shareholder, an affiliate of a Shareholder, or any director, officer or senior employee of either, other than on arm's length terms in the ordinary course of business; (j) the commencement, settlement or discontinuance of any litigation or arbitration by or against the Company; and (k) any call for further capital contributions beyond the aggregate capital commitments in clause 2.</w:t>
      </w:r>
    </w:p>
    <w:p>
      <w:pPr>
        <w:spacing w:after="200" w:before="0"/>
      </w:pPr>
      <w:r>
        <w:rPr>
          <w:rFonts w:ascii="Times New Roman" w:hAnsi="Times New Roman"/>
          <w:b/>
          <w:i/>
          <w:strike w:val="0"/>
          <w:sz w:val="20"/>
          <w:u w:val="none"/>
        </w:rPr>
        <w:t xml:space="preserve">Comment [J. Wee, 15 Jul]: </w:t>
      </w:r>
      <w:r>
        <w:rPr>
          <w:rFonts w:ascii="Times New Roman" w:hAnsi="Times New Roman"/>
          <w:b w:val="0"/>
          <w:i/>
          <w:strike w:val="0"/>
          <w:sz w:val="20"/>
          <w:u w:val="none"/>
        </w:rPr>
        <w:t>Good list. Add a residual sub-clause allowing the Shareholders to agree further Reserved Matters in writing — clients invariably think of one more after signing.</w:t>
      </w:r>
    </w:p>
    <w:p>
      <w:pPr>
        <w:spacing w:after="80" w:before="0"/>
      </w:pPr>
      <w:r>
        <w:rPr>
          <w:rFonts w:ascii="Times New Roman" w:hAnsi="Times New Roman"/>
          <w:b/>
          <w:i w:val="0"/>
          <w:strike w:val="0"/>
          <w:sz w:val="22"/>
          <w:u w:val="none"/>
        </w:rPr>
        <w:t xml:space="preserve">5. </w:t>
      </w:r>
      <w:r>
        <w:rPr>
          <w:rFonts w:ascii="Times New Roman" w:hAnsi="Times New Roman"/>
          <w:b/>
          <w:i w:val="0"/>
          <w:strike w:val="0"/>
          <w:sz w:val="22"/>
          <w:u w:val="none"/>
        </w:rPr>
        <w:t>Deadlock</w:t>
      </w:r>
    </w:p>
    <w:p>
      <w:pPr>
        <w:spacing w:after="40" w:before="0"/>
        <w:jc w:val="both"/>
      </w:pPr>
      <w:r>
        <w:rPr>
          <w:rFonts w:ascii="Times New Roman" w:hAnsi="Times New Roman"/>
          <w:b w:val="0"/>
          <w:i w:val="0"/>
          <w:strike/>
          <w:sz w:val="22"/>
          <w:u w:val="none"/>
        </w:rPr>
        <w:t>If the Shareholders cannot agree on a Reserved Matter, either Shareholder may serve a notice requiring the other to buy its shares or to sell its shares to it at a price to be agreed, failing which the Company shall be wound up.</w:t>
      </w:r>
    </w:p>
    <w:p>
      <w:pPr>
        <w:spacing w:after="40" w:before="0"/>
        <w:jc w:val="both"/>
      </w:pPr>
      <w:r>
        <w:rPr>
          <w:rFonts w:ascii="Times New Roman" w:hAnsi="Times New Roman"/>
          <w:b w:val="0"/>
          <w:i w:val="0"/>
          <w:strike w:val="0"/>
          <w:sz w:val="22"/>
          <w:u w:val="single"/>
        </w:rPr>
        <w:t>A "Deadlock" shall be deemed to have occurred when a Reserved Matter Approval cannot be obtained and, following that failure, the most senior officer of each Shareholder is unable to resolve the matter in good faith within thirty (30) calendar days of first meeting to resolve it. No Shareholder shall create, engineer or artificially bring about a Deadlock, nor exercise any right under this clause where the Deadlock is or has become artificial. A Deadlock is artificial where it is caused by a Shareholder (or its nominated directors) voting against, or persisting in opposition to, a proposal principally with the intention of frustrating or delaying the proper and efficient conduct of the Business, or in circumstances where passage of the proposal is required to enable the Company to conduct the Business in accordance with the then-current approved business plan, and where implementation of the proposal is neither directly contrary to the significant business interests of that Shareholder nor required by that Shareholder's obligations under this Agreement.</w:t>
      </w:r>
    </w:p>
    <w:p>
      <w:pPr>
        <w:spacing w:after="200" w:before="0"/>
      </w:pPr>
      <w:r>
        <w:rPr>
          <w:rFonts w:ascii="Times New Roman" w:hAnsi="Times New Roman"/>
          <w:b/>
          <w:i/>
          <w:strike w:val="0"/>
          <w:sz w:val="20"/>
          <w:u w:val="none"/>
        </w:rPr>
        <w:t xml:space="preserve">Comment [J. Wee, 15 Jul]: </w:t>
      </w:r>
      <w:r>
        <w:rPr>
          <w:rFonts w:ascii="Times New Roman" w:hAnsi="Times New Roman"/>
          <w:b w:val="0"/>
          <w:i/>
          <w:strike w:val="0"/>
          <w:sz w:val="20"/>
          <w:u w:val="none"/>
        </w:rPr>
        <w:t>The struck version is a russian-roulette clause with no valuation machinery and a winding-up default — commercially unacceptable and exactly what Priya raised on 3 July. Replaced with the anti-artificiality formulation plus the valuation and reciprocal option below. This is the clause the client is paying for; make sure it survives negotiation.</w:t>
      </w:r>
    </w:p>
    <w:p>
      <w:pPr>
        <w:spacing w:after="120" w:before="0"/>
        <w:jc w:val="both"/>
      </w:pPr>
      <w:r>
        <w:rPr>
          <w:rFonts w:ascii="Times New Roman" w:hAnsi="Times New Roman"/>
          <w:b w:val="0"/>
          <w:i w:val="0"/>
          <w:strike w:val="0"/>
          <w:sz w:val="22"/>
          <w:u w:val="none"/>
        </w:rPr>
        <w:t>5.3</w:t>
        <w:tab/>
      </w:r>
      <w:r>
        <w:rPr>
          <w:rFonts w:ascii="Times New Roman" w:hAnsi="Times New Roman"/>
          <w:b w:val="0"/>
          <w:i w:val="0"/>
          <w:strike w:val="0"/>
          <w:sz w:val="22"/>
          <w:u w:val="none"/>
        </w:rPr>
        <w:t>Upon a Deadlock which is not artificial, the shares of the Shareholders shall be valued at fair market value by an independent expert (the "Expert Valuer"), on a going-concern basis and without any minority discount. The Expert Valuer shall be the auditors of the Company for the time being or, if either Shareholder reasonably objects, an independent firm of chartered accountants of international standing agreed between the Shareholders or, failing agreement within fourteen (14) days, selected by the Company's auditors. The Expert Valuer shall act as an expert and not as an arbitrator, and its determination shall be final and binding save in the case of manifest error.</w:t>
      </w:r>
    </w:p>
    <w:p>
      <w:pPr>
        <w:spacing w:after="120" w:before="0"/>
        <w:jc w:val="both"/>
      </w:pPr>
      <w:r>
        <w:rPr>
          <w:rFonts w:ascii="Times New Roman" w:hAnsi="Times New Roman"/>
          <w:b w:val="0"/>
          <w:i w:val="0"/>
          <w:strike w:val="0"/>
          <w:sz w:val="22"/>
          <w:u w:val="none"/>
        </w:rPr>
        <w:t>5.4</w:t>
        <w:tab/>
      </w:r>
      <w:r>
        <w:rPr>
          <w:rFonts w:ascii="Times New Roman" w:hAnsi="Times New Roman"/>
          <w:b w:val="0"/>
          <w:i w:val="0"/>
          <w:strike w:val="0"/>
          <w:sz w:val="22"/>
          <w:u w:val="none"/>
        </w:rPr>
        <w:t>Within thirty (30) days of the valuation, either Shareholder may by written notice elect either to sell all (but not part only) of its shares to the other at the value so determined, or to require the other to sell all (but not part only) of its shares to it at that value. If both Shareholders give notice, the notice of the Shareholder holding the larger proportion of the issued share capital shall prevail. If neither Shareholder gives notice within that period, the disputed Reserved Matter shall not be approved and the Company shall continue to operate as if the Deadlock had not arisen.</w:t>
      </w:r>
    </w:p>
    <w:p>
      <w:pPr>
        <w:spacing w:after="80" w:before="0"/>
      </w:pPr>
      <w:r>
        <w:rPr>
          <w:rFonts w:ascii="Times New Roman" w:hAnsi="Times New Roman"/>
          <w:b/>
          <w:i w:val="0"/>
          <w:strike w:val="0"/>
          <w:sz w:val="22"/>
          <w:u w:val="none"/>
        </w:rPr>
        <w:t xml:space="preserve">6. </w:t>
      </w:r>
      <w:r>
        <w:rPr>
          <w:rFonts w:ascii="Times New Roman" w:hAnsi="Times New Roman"/>
          <w:b/>
          <w:i w:val="0"/>
          <w:strike w:val="0"/>
          <w:sz w:val="22"/>
          <w:u w:val="none"/>
        </w:rPr>
        <w:t>Transfer of Shares</w:t>
      </w:r>
    </w:p>
    <w:p>
      <w:pPr>
        <w:spacing w:after="120" w:before="0"/>
        <w:jc w:val="both"/>
      </w:pPr>
      <w:r>
        <w:rPr>
          <w:rFonts w:ascii="Times New Roman" w:hAnsi="Times New Roman"/>
          <w:b w:val="0"/>
          <w:i w:val="0"/>
          <w:strike w:val="0"/>
          <w:sz w:val="22"/>
          <w:u w:val="none"/>
        </w:rPr>
        <w:t>6.1</w:t>
        <w:tab/>
      </w:r>
      <w:r>
        <w:rPr>
          <w:rFonts w:ascii="Times New Roman" w:hAnsi="Times New Roman"/>
          <w:b w:val="0"/>
          <w:i w:val="0"/>
          <w:strike w:val="0"/>
          <w:sz w:val="22"/>
          <w:u w:val="none"/>
        </w:rPr>
        <w:t>No Shareholder shall transfer, or create any encumbrance over, any of its shares without the prior written consent of the other Shareholder until the expiry of three (3) years from the date of incorporation of the Company (the "Lock-Up Period").</w:t>
      </w:r>
    </w:p>
    <w:p>
      <w:pPr>
        <w:spacing w:after="120" w:before="0"/>
        <w:jc w:val="both"/>
      </w:pPr>
      <w:r>
        <w:rPr>
          <w:rFonts w:ascii="Times New Roman" w:hAnsi="Times New Roman"/>
          <w:b w:val="0"/>
          <w:i w:val="0"/>
          <w:strike w:val="0"/>
          <w:sz w:val="22"/>
          <w:u w:val="none"/>
        </w:rPr>
        <w:t>6.2</w:t>
        <w:tab/>
      </w:r>
      <w:r>
        <w:rPr>
          <w:rFonts w:ascii="Times New Roman" w:hAnsi="Times New Roman"/>
          <w:b w:val="0"/>
          <w:i w:val="0"/>
          <w:strike w:val="0"/>
          <w:sz w:val="22"/>
          <w:u w:val="none"/>
        </w:rPr>
        <w:t>Following the Lock-Up Period, a Shareholder wishing to transfer shares (the "Selling Shareholder") shall first serve a written notice (the "Transfer Notice") on the other Shareholder specifying the number of shares, the identity of the proposed transferee, and the price and material terms. Where the proposed transferee is an affiliate of the Selling Shareholder, or where the other Shareholder reasonably believes the stated price does not reflect fair market value, that Shareholder may require the price to be determined by the Expert Valuer under clause 5.3, and the Transfer Notice shall be treated as having specified that price.</w:t>
      </w:r>
    </w:p>
    <w:p>
      <w:pPr>
        <w:spacing w:after="120" w:before="0"/>
        <w:jc w:val="both"/>
      </w:pPr>
      <w:r>
        <w:rPr>
          <w:rFonts w:ascii="Times New Roman" w:hAnsi="Times New Roman"/>
          <w:b w:val="0"/>
          <w:i w:val="0"/>
          <w:strike w:val="0"/>
          <w:sz w:val="22"/>
          <w:u w:val="none"/>
        </w:rPr>
        <w:t>6.3</w:t>
        <w:tab/>
      </w:r>
      <w:r>
        <w:rPr>
          <w:rFonts w:ascii="Times New Roman" w:hAnsi="Times New Roman"/>
          <w:b w:val="0"/>
          <w:i w:val="0"/>
          <w:strike w:val="0"/>
          <w:sz w:val="22"/>
          <w:u w:val="none"/>
        </w:rPr>
        <w:t>The other Shareholder may, by written notice within twenty (20) calendar days of receipt of the Transfer Notice (or of any redetermination of price), acquire all (but not part only) of the shares specified on the same price and terms. Any transfer to an affiliate shall remain subject to this clause, and the transferee affiliate shall be bound by the same restrictions on any subsequent transfer as applied to the Selling Shareholder.</w:t>
      </w:r>
    </w:p>
    <w:p>
      <w:pPr>
        <w:spacing w:after="200" w:before="0"/>
      </w:pPr>
      <w:r>
        <w:rPr>
          <w:rFonts w:ascii="Times New Roman" w:hAnsi="Times New Roman"/>
          <w:b/>
          <w:i/>
          <w:strike w:val="0"/>
          <w:sz w:val="20"/>
          <w:u w:val="none"/>
        </w:rPr>
        <w:t xml:space="preserve">Comment [J. Wee, 15 Jul]: </w:t>
      </w:r>
      <w:r>
        <w:rPr>
          <w:rFonts w:ascii="Times New Roman" w:hAnsi="Times New Roman"/>
          <w:b w:val="0"/>
          <w:i/>
          <w:strike w:val="0"/>
          <w:sz w:val="20"/>
          <w:u w:val="none"/>
        </w:rPr>
        <w:t>6.2 second limb is the important one — without it the lock-up is defeated by a sham affiliate transfer at a nominal price. Keep it.</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Non-Competition and Channel Exclusivity</w:t>
      </w:r>
    </w:p>
    <w:p>
      <w:pPr>
        <w:spacing w:after="160" w:before="0"/>
        <w:jc w:val="both"/>
      </w:pPr>
      <w:r>
        <w:rPr>
          <w:rFonts w:ascii="Times New Roman" w:hAnsi="Times New Roman"/>
          <w:b w:val="0"/>
          <w:i w:val="0"/>
          <w:strike w:val="0"/>
          <w:sz w:val="22"/>
          <w:u w:val="none"/>
        </w:rPr>
        <w:t>During the term of this Agreement and for two (2) years after a Shareholder ceases to hold shares in the Company, that Shareholder shall not, whether alone or with any third party, distribute in Singapore any collectible merchandise range that competes with the Business, save for its existing business activities as at the date of this Agreement. Each Shareholder shall procure that the Company's products are not distributed, listed or sold through any channel other than those operated by or on behalf of the Company. For the avoidance of doubt, nothing in this clause restricts Trashi from operating its general online marketplace, provided that no competing collectible merchandise range is distributed, listed or sold through that channel.</w:t>
      </w:r>
    </w:p>
    <w:p>
      <w:pPr>
        <w:spacing w:after="60" w:before="80"/>
      </w:pPr>
      <w:r>
        <w:rPr>
          <w:rFonts w:ascii="Times New Roman" w:hAnsi="Times New Roman"/>
          <w:b/>
          <w:i w:val="0"/>
          <w:strike w:val="0"/>
          <w:sz w:val="22"/>
          <w:u w:val="none"/>
        </w:rPr>
        <w:t xml:space="preserve">8. </w:t>
      </w:r>
      <w:r>
        <w:rPr>
          <w:rFonts w:ascii="Times New Roman" w:hAnsi="Times New Roman"/>
          <w:b/>
          <w:i w:val="0"/>
          <w:strike w:val="0"/>
          <w:sz w:val="22"/>
          <w:u w:val="none"/>
        </w:rPr>
        <w:t>Default</w:t>
      </w:r>
    </w:p>
    <w:p>
      <w:pPr>
        <w:spacing w:after="160" w:before="0"/>
        <w:jc w:val="both"/>
      </w:pPr>
      <w:r>
        <w:rPr>
          <w:rFonts w:ascii="Times New Roman" w:hAnsi="Times New Roman"/>
          <w:b w:val="0"/>
          <w:i w:val="0"/>
          <w:strike w:val="0"/>
          <w:sz w:val="22"/>
          <w:u w:val="none"/>
        </w:rPr>
        <w:t>Where a Shareholder is in material default of its obligations under this Agreement and fails to remedy that default within thirty (30) days of written notice (a "Defaulting Shareholder"), then until the default is remedied or its shares are transferred: (a) any director nominated by the Defaulting Shareholder shall not vote at, or count towards the quorum for, any meeting of the Board; (b) the Defaulting Shareholder shall not vote on, or have its shareholding counted towards any approval threshold for, any Reserved Matter; and (c) any distributions otherwise payable to the Defaulting Shareholder shall be withheld and retained by the Company pending resolution, and paid to the Defaulting Shareholder on remedy or to the transferee of its shares on a completed transfer.</w:t>
      </w:r>
    </w:p>
    <w:p>
      <w:pPr>
        <w:spacing w:after="60" w:before="80"/>
      </w:pPr>
      <w:r>
        <w:rPr>
          <w:rFonts w:ascii="Times New Roman" w:hAnsi="Times New Roman"/>
          <w:b/>
          <w:i w:val="0"/>
          <w:strike w:val="0"/>
          <w:sz w:val="22"/>
          <w:u w:val="none"/>
        </w:rPr>
        <w:t xml:space="preserve">9. </w:t>
      </w:r>
      <w:r>
        <w:rPr>
          <w:rFonts w:ascii="Times New Roman" w:hAnsi="Times New Roman"/>
          <w:b/>
          <w:i w:val="0"/>
          <w:strike w:val="0"/>
          <w:sz w:val="22"/>
          <w:u w:val="none"/>
        </w:rPr>
        <w:t>Dispute Resolution</w:t>
      </w:r>
    </w:p>
    <w:p>
      <w:pPr>
        <w:spacing w:after="160" w:before="0"/>
        <w:jc w:val="both"/>
      </w:pPr>
      <w:r>
        <w:rPr>
          <w:rFonts w:ascii="Times New Roman" w:hAnsi="Times New Roman"/>
          <w:b w:val="0"/>
          <w:i w:val="0"/>
          <w:strike w:val="0"/>
          <w:sz w:val="22"/>
          <w:u w:val="none"/>
        </w:rPr>
        <w:t>Any dispute arising out of or in connection with this Agreement, including any question regarding its existence, validity or termination, shall first be referred to good-faith negotiation between senior executives of the Shareholders for fourteen (14) days. Failing resolution, it shall be referred to mediation administered by the Singapore International Mediation Centre for thirty (30) days. Failing resolution following mediation, it shall be referred to and finally resolved by arbitration administered by the Singapore International Arbitration Centre in accordance with the SIAC Arbitration Rules for the time being in force, which rules are deemed incorporated by reference. The seat shall be Singapore, the language English, and the tribunal shall consist of one (1) arbitrator, provided that where the amount in dispute exceeds S$10,000,000 the tribunal shall consist of three (3) arbitrators. Any dispute as to the fair value of shares under clauses 5 or 6 shall be determined by the Expert Valuer and not by arbitration.</w:t>
      </w:r>
    </w:p>
    <w:p>
      <w:pPr>
        <w:spacing w:after="60" w:before="80"/>
      </w:pPr>
      <w:r>
        <w:rPr>
          <w:rFonts w:ascii="Times New Roman" w:hAnsi="Times New Roman"/>
          <w:b/>
          <w:i w:val="0"/>
          <w:strike w:val="0"/>
          <w:sz w:val="22"/>
          <w:u w:val="none"/>
        </w:rPr>
        <w:t xml:space="preserve">10. </w:t>
      </w:r>
      <w:r>
        <w:rPr>
          <w:rFonts w:ascii="Times New Roman" w:hAnsi="Times New Roman"/>
          <w:b/>
          <w:i w:val="0"/>
          <w:strike w:val="0"/>
          <w:sz w:val="22"/>
          <w:u w:val="none"/>
        </w:rPr>
        <w:t>Rights of Third Parties</w:t>
      </w:r>
    </w:p>
    <w:p>
      <w:pPr>
        <w:spacing w:after="160" w:before="0"/>
        <w:jc w:val="both"/>
      </w:pPr>
      <w:r>
        <w:rPr>
          <w:rFonts w:ascii="Times New Roman" w:hAnsi="Times New Roman"/>
          <w:b w:val="0"/>
          <w:i w:val="0"/>
          <w:strike w:val="0"/>
          <w:sz w:val="22"/>
          <w:u w:val="none"/>
        </w:rPr>
        <w:t>A person who is not a party to this Agreement has no rights under the Contracts (Rights of Third Parties) Act 2001 to enforce any term of this Agreement.</w:t>
      </w:r>
    </w:p>
    <w:p>
      <w:pPr>
        <w:spacing w:after="60" w:before="80"/>
      </w:pPr>
      <w:r>
        <w:rPr>
          <w:rFonts w:ascii="Times New Roman" w:hAnsi="Times New Roman"/>
          <w:b/>
          <w:i w:val="0"/>
          <w:strike w:val="0"/>
          <w:sz w:val="22"/>
          <w:u w:val="none"/>
        </w:rPr>
        <w:t xml:space="preserve">11. </w:t>
      </w:r>
      <w:r>
        <w:rPr>
          <w:rFonts w:ascii="Times New Roman" w:hAnsi="Times New Roman"/>
          <w:b/>
          <w:i w:val="0"/>
          <w:strike w:val="0"/>
          <w:sz w:val="22"/>
          <w:u w:val="none"/>
        </w:rPr>
        <w:t>Governing Law</w:t>
      </w:r>
    </w:p>
    <w:p>
      <w:pPr>
        <w:spacing w:after="160" w:before="0"/>
        <w:jc w:val="both"/>
      </w:pPr>
      <w:r>
        <w:rPr>
          <w:rFonts w:ascii="Times New Roman" w:hAnsi="Times New Roman"/>
          <w:b w:val="0"/>
          <w:i w:val="0"/>
          <w:strike w:val="0"/>
          <w:sz w:val="22"/>
          <w:u w:val="none"/>
        </w:rPr>
        <w:t>This Agreement is governed by and shall be construed in accordance with the laws of Singapore.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