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SHAREHOLDERS AGREEMENT</w:t>
      </w:r>
    </w:p>
    <w:p>
      <w:pPr>
        <w:spacing w:after="120" w:before="0"/>
        <w:jc w:val="center"/>
      </w:pPr>
      <w:r>
        <w:rPr>
          <w:rFonts w:ascii="Times New Roman" w:hAnsi="Times New Roman"/>
          <w:b w:val="0"/>
          <w:i/>
          <w:strike w:val="0"/>
          <w:sz w:val="22"/>
          <w:u w:val="none"/>
        </w:rPr>
        <w:t>(Execution Version — 5 August 2026)</w:t>
      </w:r>
    </w:p>
    <w:p>
      <w:pPr>
        <w:spacing w:after="120" w:before="0"/>
        <w:jc w:val="center"/>
      </w:pPr>
      <w:r>
        <w:rPr>
          <w:rFonts w:ascii="Times New Roman" w:hAnsi="Times New Roman"/>
          <w:b w:val="0"/>
          <w:i/>
          <w:strike w:val="0"/>
          <w:sz w:val="22"/>
          <w:u w:val="none"/>
        </w:rPr>
        <w:t>relating to</w:t>
      </w:r>
    </w:p>
    <w:p>
      <w:pPr>
        <w:spacing w:after="120" w:before="0"/>
        <w:jc w:val="center"/>
      </w:pPr>
      <w:r>
        <w:rPr>
          <w:rFonts w:ascii="Times New Roman" w:hAnsi="Times New Roman"/>
          <w:b/>
          <w:i w:val="0"/>
          <w:strike w:val="0"/>
          <w:sz w:val="26"/>
          <w:u w:val="none"/>
        </w:rPr>
        <w:t>AURORA VENTURES PTE. LTD.</w:t>
      </w:r>
    </w:p>
    <w:p>
      <w:pPr>
        <w:spacing w:after="120" w:before="0"/>
      </w:pPr>
    </w:p>
    <w:p>
      <w:pPr>
        <w:spacing w:after="200" w:before="0"/>
        <w:jc w:val="center"/>
      </w:pPr>
      <w:r>
        <w:rPr>
          <w:rFonts w:ascii="Times New Roman" w:hAnsi="Times New Roman"/>
          <w:b/>
          <w:i w:val="0"/>
          <w:strike w:val="0"/>
          <w:sz w:val="20"/>
          <w:u w:val="none"/>
        </w:rPr>
        <w:t>APPROVED BY SUPERVISING PARTNER (J. WEE) — FIRM MODEL PRECEDENT</w:t>
      </w:r>
    </w:p>
    <w:p>
      <w:pPr>
        <w:spacing w:after="120" w:before="0"/>
        <w:jc w:val="both"/>
      </w:pPr>
      <w:r>
        <w:rPr>
          <w:rFonts w:ascii="Times New Roman" w:hAnsi="Times New Roman"/>
          <w:b w:val="0"/>
          <w:i w:val="0"/>
          <w:strike w:val="0"/>
          <w:sz w:val="22"/>
          <w:u w:val="none"/>
        </w:rPr>
        <w:t>Parties: (1) Maximus Retail Group Pte. Ltd. (Company Registration No. 201133421K), whose registered office is at 8 Viridian Road, #08-08, Champions Tower, Singapore 518815 ("Maximus"); (2) Trashi Digital Pte. Ltd. (Company Registration No. 202004417M), whose registered office is at 18 Pallet Road, #01-11, Harbourfront Tower, Singapore 185285 ("Trashi"); and (3) Aurora Ventures Pte. Ltd. (Company Registration No. 202611908E) (the "Company"). Maximus and Trashi are each a "Shareholder" and collectively the "Shareholders".</w:t>
      </w:r>
    </w:p>
    <w:p>
      <w:pPr>
        <w:spacing w:after="60" w:before="80"/>
      </w:pPr>
      <w:r>
        <w:rPr>
          <w:rFonts w:ascii="Times New Roman" w:hAnsi="Times New Roman"/>
          <w:b/>
          <w:i w:val="0"/>
          <w:strike w:val="0"/>
          <w:sz w:val="22"/>
          <w:u w:val="none"/>
        </w:rPr>
        <w:t xml:space="preserve">1. </w:t>
      </w:r>
      <w:r>
        <w:rPr>
          <w:rFonts w:ascii="Times New Roman" w:hAnsi="Times New Roman"/>
          <w:b/>
          <w:i w:val="0"/>
          <w:strike w:val="0"/>
          <w:sz w:val="22"/>
          <w:u w:val="none"/>
        </w:rPr>
        <w:t>Business of the Company</w:t>
      </w:r>
    </w:p>
    <w:p>
      <w:pPr>
        <w:spacing w:after="160" w:before="0"/>
        <w:jc w:val="both"/>
      </w:pPr>
      <w:r>
        <w:rPr>
          <w:rFonts w:ascii="Times New Roman" w:hAnsi="Times New Roman"/>
          <w:b w:val="0"/>
          <w:i w:val="0"/>
          <w:strike w:val="0"/>
          <w:sz w:val="22"/>
          <w:u w:val="none"/>
        </w:rPr>
        <w:t>The business of the Company shall be to hold the exclusive Singapore distributorship for the Folklore collectible merchandise range and to develop, operate and carry on that business (the "Business"). The Company shall not carry on any other business without a Reserved Matter Approval.</w:t>
      </w:r>
    </w:p>
    <w:p>
      <w:pPr>
        <w:spacing w:after="60" w:before="80"/>
      </w:pPr>
      <w:r>
        <w:rPr>
          <w:rFonts w:ascii="Times New Roman" w:hAnsi="Times New Roman"/>
          <w:b/>
          <w:i w:val="0"/>
          <w:strike w:val="0"/>
          <w:sz w:val="22"/>
          <w:u w:val="none"/>
        </w:rPr>
        <w:t xml:space="preserve">2. </w:t>
      </w:r>
      <w:r>
        <w:rPr>
          <w:rFonts w:ascii="Times New Roman" w:hAnsi="Times New Roman"/>
          <w:b/>
          <w:i w:val="0"/>
          <w:strike w:val="0"/>
          <w:sz w:val="22"/>
          <w:u w:val="none"/>
        </w:rPr>
        <w:t>Shareholding and Capital Commitment</w:t>
      </w:r>
    </w:p>
    <w:p>
      <w:pPr>
        <w:spacing w:after="160" w:before="0"/>
        <w:jc w:val="both"/>
      </w:pPr>
      <w:r>
        <w:rPr>
          <w:rFonts w:ascii="Times New Roman" w:hAnsi="Times New Roman"/>
          <w:b w:val="0"/>
          <w:i w:val="0"/>
          <w:strike w:val="0"/>
          <w:sz w:val="22"/>
          <w:u w:val="none"/>
        </w:rPr>
        <w:t>The issued share capital of the Company shall be held as to sixty-five per cent (65%) by Maximus and thirty-five per cent (35%) by Trashi (the "Agreed JV Proportion"). The Shareholders shall make aggregate capital commitments of up to S$180,000,000, to be drawn down in one or more capital calls by way of subscription for preference shares and/or the provision of shareholder loans. Any increase in the aggregate capital commitments beyond that amount shall require a Reserved Matter Approval. Where any additional shareholder is admitted, that shareholder shall pay to the Company the amount of capital contribution that would previously have been required of it had it been a shareholder as at the date of this Agreement (the "Equalisation Amount"), together with a premium equivalent to interest at five per cent (5%) per annum on the Equalisation Amount reflecting the time value of money and the risk borne by the existing Shareholders. The Equalisation Amount shall be treated as a capital contribution; the premium shall not.</w:t>
      </w:r>
    </w:p>
    <w:p>
      <w:pPr>
        <w:spacing w:after="60" w:before="80"/>
      </w:pPr>
      <w:r>
        <w:rPr>
          <w:rFonts w:ascii="Times New Roman" w:hAnsi="Times New Roman"/>
          <w:b/>
          <w:i w:val="0"/>
          <w:strike w:val="0"/>
          <w:sz w:val="22"/>
          <w:u w:val="none"/>
        </w:rPr>
        <w:t xml:space="preserve">3. </w:t>
      </w:r>
      <w:r>
        <w:rPr>
          <w:rFonts w:ascii="Times New Roman" w:hAnsi="Times New Roman"/>
          <w:b/>
          <w:i w:val="0"/>
          <w:strike w:val="0"/>
          <w:sz w:val="22"/>
          <w:u w:val="none"/>
        </w:rPr>
        <w:t>Board Composition and Proceedings</w:t>
      </w:r>
    </w:p>
    <w:p>
      <w:pPr>
        <w:spacing w:after="160" w:before="0"/>
        <w:jc w:val="both"/>
      </w:pPr>
      <w:r>
        <w:rPr>
          <w:rFonts w:ascii="Times New Roman" w:hAnsi="Times New Roman"/>
          <w:b w:val="0"/>
          <w:i w:val="0"/>
          <w:strike w:val="0"/>
          <w:sz w:val="22"/>
          <w:u w:val="none"/>
        </w:rPr>
        <w:t>The Board shall comprise five (5) directors. Maximus may nominate three (3) directors and Trashi may nominate two (2). The chairperson shall be nominated by Trashi and shall not have a second or casting vote. The quorum for any meeting of the Board shall be a majority of the directors then in office, which majority must include at least one (1) director nominated by each Shareholder. Save where waived in writing by all directors, not less than fourteen (14) calendar days' written notice of each meeting, accompanied by an agenda specifying the business to be discussed and copies of all relevant papers, shall be given to all directors. Save in respect of the Reserved Matters, all resolutions of the Board shall be passed by a simple majority of the directors entitled to vote.</w:t>
      </w:r>
    </w:p>
    <w:p>
      <w:pPr>
        <w:spacing w:after="80" w:before="0"/>
      </w:pPr>
      <w:r>
        <w:rPr>
          <w:rFonts w:ascii="Times New Roman" w:hAnsi="Times New Roman"/>
          <w:b/>
          <w:i w:val="0"/>
          <w:strike w:val="0"/>
          <w:sz w:val="22"/>
          <w:u w:val="none"/>
        </w:rPr>
        <w:t xml:space="preserve">4. </w:t>
      </w:r>
      <w:r>
        <w:rPr>
          <w:rFonts w:ascii="Times New Roman" w:hAnsi="Times New Roman"/>
          <w:b/>
          <w:i w:val="0"/>
          <w:strike w:val="0"/>
          <w:sz w:val="22"/>
          <w:u w:val="none"/>
        </w:rPr>
        <w:t>Reserved Matters</w:t>
      </w:r>
    </w:p>
    <w:p>
      <w:pPr>
        <w:spacing w:after="120" w:before="0"/>
        <w:jc w:val="both"/>
      </w:pPr>
      <w:r>
        <w:rPr>
          <w:rFonts w:ascii="Times New Roman" w:hAnsi="Times New Roman"/>
          <w:b w:val="0"/>
          <w:i w:val="0"/>
          <w:strike w:val="0"/>
          <w:sz w:val="22"/>
          <w:u w:val="none"/>
        </w:rPr>
        <w:t>The following matters (the "Reserved Matters") shall require the unanimous approval of the Shareholders (each such approval, a "Reserved Matter Approval"): (a) any amendment to this Agreement or to the constitution of the Company; (b) any external financing and the key terms thereof, including principal amount, interest rate and security; (c) the approval of, or any material amendment to, the annual budget and business plan where the aggregate expenditure contemplated exceeds S$2,000,000; (d) the appointment and removal of the auditors; (e) the entry into, or any material amendment to, the Distributorship Agreement; (f) the dividend distribution policy and any change thereto; (g) the admission of any additional shareholder; (h) the winding up of the Company or the adoption of any exit plan; (i) the entry into, or any material amendment, waiver or termination of, any contract, agreement or arrangement (whether or not legally enforceable) between, on the one hand, the Company and, on the other, (i) a Shareholder, (ii) any affiliate of a Shareholder, (iii) any director, officer or senior employee of the Company or of a Shareholder, or (iv) any person connected with any of the foregoing, other than on arm's length terms in the ordinary course of business; (j) the commencement, settlement or discontinuance of any litigation, arbitration or other dispute resolution proceedings by or against the Company; and (k) any call for further capital contributions or subscription for further shares beyond the aggregate capital commitments set out in clause 2. The Shareholders may agree in writing from time to time that further matters shall constitute Reserved Matters.</w:t>
      </w:r>
    </w:p>
    <w:p>
      <w:pPr>
        <w:spacing w:after="80" w:before="0"/>
      </w:pPr>
      <w:r>
        <w:rPr>
          <w:rFonts w:ascii="Times New Roman" w:hAnsi="Times New Roman"/>
          <w:b/>
          <w:i w:val="0"/>
          <w:strike w:val="0"/>
          <w:sz w:val="22"/>
          <w:u w:val="none"/>
        </w:rPr>
        <w:t xml:space="preserve">5. </w:t>
      </w:r>
      <w:r>
        <w:rPr>
          <w:rFonts w:ascii="Times New Roman" w:hAnsi="Times New Roman"/>
          <w:b/>
          <w:i w:val="0"/>
          <w:strike w:val="0"/>
          <w:sz w:val="22"/>
          <w:u w:val="none"/>
        </w:rPr>
        <w:t>Deadlock</w:t>
      </w:r>
    </w:p>
    <w:p>
      <w:pPr>
        <w:spacing w:after="120" w:before="0"/>
        <w:jc w:val="both"/>
      </w:pPr>
      <w:r>
        <w:rPr>
          <w:rFonts w:ascii="Times New Roman" w:hAnsi="Times New Roman"/>
          <w:b w:val="0"/>
          <w:i w:val="0"/>
          <w:strike w:val="0"/>
          <w:sz w:val="22"/>
          <w:u w:val="none"/>
        </w:rPr>
        <w:t>5.1</w:t>
        <w:tab/>
      </w:r>
      <w:r>
        <w:rPr>
          <w:rFonts w:ascii="Times New Roman" w:hAnsi="Times New Roman"/>
          <w:b w:val="0"/>
          <w:i w:val="0"/>
          <w:strike w:val="0"/>
          <w:sz w:val="22"/>
          <w:u w:val="none"/>
        </w:rPr>
        <w:t>A "Deadlock" shall be deemed to have occurred when a Reserved Matter Approval cannot be obtained and, following that failure, the most senior officer of each Shareholder is unable to resolve the matter in good faith within thirty (30) calendar days of first meeting to resolve it. No notice may be served under clause 5.4 until that process has been exhausted.</w:t>
      </w:r>
    </w:p>
    <w:p>
      <w:pPr>
        <w:spacing w:after="120" w:before="0"/>
        <w:jc w:val="both"/>
      </w:pPr>
      <w:r>
        <w:rPr>
          <w:rFonts w:ascii="Times New Roman" w:hAnsi="Times New Roman"/>
          <w:b w:val="0"/>
          <w:i w:val="0"/>
          <w:strike w:val="0"/>
          <w:sz w:val="22"/>
          <w:u w:val="none"/>
        </w:rPr>
        <w:t>5.2</w:t>
        <w:tab/>
      </w:r>
      <w:r>
        <w:rPr>
          <w:rFonts w:ascii="Times New Roman" w:hAnsi="Times New Roman"/>
          <w:b w:val="0"/>
          <w:i w:val="0"/>
          <w:strike w:val="0"/>
          <w:sz w:val="22"/>
          <w:u w:val="none"/>
        </w:rPr>
        <w:t>No Shareholder shall create, engineer or artificially bring about a Deadlock, nor exercise or seek to pursue any right under this clause 5 where the Deadlock is or has become artificial. For this purpose, a Deadlock is artificial if it is caused by a Shareholder (or its nominated directors) voting against, or persisting in opposition to, a proposal principally or substantially with the intention of frustrating or delaying the proper and efficient conduct of the Business, or in circumstances where the passage of the proposal is required to enable the Company to conduct the Business properly and efficiently in accordance with the then-current approved business plan, and where implementation of the proposal is neither directly contrary to the significant business interests of that Shareholder nor required by that Shareholder's obligations under this Agreement.</w:t>
      </w:r>
    </w:p>
    <w:p>
      <w:pPr>
        <w:spacing w:after="120" w:before="0"/>
        <w:jc w:val="both"/>
      </w:pPr>
      <w:r>
        <w:rPr>
          <w:rFonts w:ascii="Times New Roman" w:hAnsi="Times New Roman"/>
          <w:b w:val="0"/>
          <w:i w:val="0"/>
          <w:strike w:val="0"/>
          <w:sz w:val="22"/>
          <w:u w:val="none"/>
        </w:rPr>
        <w:t>5.3</w:t>
        <w:tab/>
      </w:r>
      <w:r>
        <w:rPr>
          <w:rFonts w:ascii="Times New Roman" w:hAnsi="Times New Roman"/>
          <w:b w:val="0"/>
          <w:i w:val="0"/>
          <w:strike w:val="0"/>
          <w:sz w:val="22"/>
          <w:u w:val="none"/>
        </w:rPr>
        <w:t>Upon a Deadlock which is not artificial, the shares of the Shareholders shall be valued at their fair market value by an independent expert (the "Expert Valuer"), valued on a going-concern basis and without any minority discount. The Expert Valuer shall be the auditors of the Company for the time being or, if either Shareholder reasonably objects, an independent firm of chartered accountants of international standing agreed between the Shareholders or, failing agreement within fourteen (14) days, selected by the Company's auditors. The Expert Valuer shall act as an expert and not as an arbitrator, and its determination of fair value shall be final and binding on the Shareholders save in the case of manifest error.</w:t>
      </w:r>
    </w:p>
    <w:p>
      <w:pPr>
        <w:spacing w:after="120" w:before="0"/>
        <w:jc w:val="both"/>
      </w:pPr>
      <w:r>
        <w:rPr>
          <w:rFonts w:ascii="Times New Roman" w:hAnsi="Times New Roman"/>
          <w:b w:val="0"/>
          <w:i w:val="0"/>
          <w:strike w:val="0"/>
          <w:sz w:val="22"/>
          <w:u w:val="none"/>
        </w:rPr>
        <w:t>5.4</w:t>
        <w:tab/>
      </w:r>
      <w:r>
        <w:rPr>
          <w:rFonts w:ascii="Times New Roman" w:hAnsi="Times New Roman"/>
          <w:b w:val="0"/>
          <w:i w:val="0"/>
          <w:strike w:val="0"/>
          <w:sz w:val="22"/>
          <w:u w:val="none"/>
        </w:rPr>
        <w:t>Within thirty (30) days of the determination of fair value, either Shareholder may by written notice to the other elect either to sell all (but not part only) of its shares to the other at the value so determined, or to require the other to sell all (but not part only) of its shares to it at that value. If both Shareholders serve notice, the notice served first in time shall prevail; if both are served on the same day, neither notice shall take effect and the disputed Reserved Matter shall not be approved. If neither Shareholder serves notice within that period, the disputed Reserved Matter shall not be approved and the Company shall continue to operate as if the Deadlock had not arisen.</w:t>
      </w:r>
    </w:p>
    <w:p>
      <w:pPr>
        <w:spacing w:after="120" w:before="0"/>
        <w:jc w:val="both"/>
      </w:pPr>
      <w:r>
        <w:rPr>
          <w:rFonts w:ascii="Times New Roman" w:hAnsi="Times New Roman"/>
          <w:b w:val="0"/>
          <w:i w:val="0"/>
          <w:strike w:val="0"/>
          <w:sz w:val="22"/>
          <w:u w:val="none"/>
        </w:rPr>
        <w:t>5.5</w:t>
        <w:tab/>
      </w:r>
      <w:r>
        <w:rPr>
          <w:rFonts w:ascii="Times New Roman" w:hAnsi="Times New Roman"/>
          <w:b w:val="0"/>
          <w:i w:val="0"/>
          <w:strike w:val="0"/>
          <w:sz w:val="22"/>
          <w:u w:val="none"/>
        </w:rPr>
        <w:t>Where the Distributorship Agreement permits the licensor to terminate upon a change in the ownership of the Company, the Shareholders shall first use reasonable endeavours to obtain the licensor's consent to the proposed transfer before completion of any purchase or sale under this clause 5.</w:t>
      </w:r>
    </w:p>
    <w:p>
      <w:pPr>
        <w:spacing w:after="80" w:before="0"/>
      </w:pPr>
      <w:r>
        <w:rPr>
          <w:rFonts w:ascii="Times New Roman" w:hAnsi="Times New Roman"/>
          <w:b/>
          <w:i w:val="0"/>
          <w:strike w:val="0"/>
          <w:sz w:val="22"/>
          <w:u w:val="none"/>
        </w:rPr>
        <w:t xml:space="preserve">6. </w:t>
      </w:r>
      <w:r>
        <w:rPr>
          <w:rFonts w:ascii="Times New Roman" w:hAnsi="Times New Roman"/>
          <w:b/>
          <w:i w:val="0"/>
          <w:strike w:val="0"/>
          <w:sz w:val="22"/>
          <w:u w:val="none"/>
        </w:rPr>
        <w:t>Transfer of Shares</w:t>
      </w:r>
    </w:p>
    <w:p>
      <w:pPr>
        <w:spacing w:after="120" w:before="0"/>
        <w:jc w:val="both"/>
      </w:pPr>
      <w:r>
        <w:rPr>
          <w:rFonts w:ascii="Times New Roman" w:hAnsi="Times New Roman"/>
          <w:b w:val="0"/>
          <w:i w:val="0"/>
          <w:strike w:val="0"/>
          <w:sz w:val="22"/>
          <w:u w:val="none"/>
        </w:rPr>
        <w:t>6.1</w:t>
        <w:tab/>
      </w:r>
      <w:r>
        <w:rPr>
          <w:rFonts w:ascii="Times New Roman" w:hAnsi="Times New Roman"/>
          <w:b w:val="0"/>
          <w:i w:val="0"/>
          <w:strike w:val="0"/>
          <w:sz w:val="22"/>
          <w:u w:val="none"/>
        </w:rPr>
        <w:t>No Shareholder shall transfer, or create any encumbrance over, any of its shares or interests in the Company without the prior written consent of the other Shareholder until the expiry of three (3) years from the date of incorporation of the Company (the "Lock-Up Period").</w:t>
      </w:r>
    </w:p>
    <w:p>
      <w:pPr>
        <w:spacing w:after="120" w:before="0"/>
        <w:jc w:val="both"/>
      </w:pPr>
      <w:r>
        <w:rPr>
          <w:rFonts w:ascii="Times New Roman" w:hAnsi="Times New Roman"/>
          <w:b w:val="0"/>
          <w:i w:val="0"/>
          <w:strike w:val="0"/>
          <w:sz w:val="22"/>
          <w:u w:val="none"/>
        </w:rPr>
        <w:t>6.2</w:t>
        <w:tab/>
      </w:r>
      <w:r>
        <w:rPr>
          <w:rFonts w:ascii="Times New Roman" w:hAnsi="Times New Roman"/>
          <w:b w:val="0"/>
          <w:i w:val="0"/>
          <w:strike w:val="0"/>
          <w:sz w:val="22"/>
          <w:u w:val="none"/>
        </w:rPr>
        <w:t>Following the expiry of the Lock-Up Period, a Shareholder wishing to transfer any of its shares (the "Selling Shareholder") shall first give written notice (the "Transfer Notice") to the other Shareholder specifying the number of shares proposed to be transferred, the identity of the proposed transferee, and the price and material terms of the proposed transfer. Where the proposed transferee is an affiliate of the Selling Shareholder, or where the other Shareholder reasonably believes that the price stated in the Transfer Notice does not reflect the fair market value of the shares, that Shareholder may require that the price be determined by the Expert Valuer in accordance with clause 5.3, and the Transfer Notice shall be treated as if it had specified that price.</w:t>
      </w:r>
    </w:p>
    <w:p>
      <w:pPr>
        <w:spacing w:after="120" w:before="0"/>
        <w:jc w:val="both"/>
      </w:pPr>
      <w:r>
        <w:rPr>
          <w:rFonts w:ascii="Times New Roman" w:hAnsi="Times New Roman"/>
          <w:b w:val="0"/>
          <w:i w:val="0"/>
          <w:strike w:val="0"/>
          <w:sz w:val="22"/>
          <w:u w:val="none"/>
        </w:rPr>
        <w:t>6.3</w:t>
        <w:tab/>
      </w:r>
      <w:r>
        <w:rPr>
          <w:rFonts w:ascii="Times New Roman" w:hAnsi="Times New Roman"/>
          <w:b w:val="0"/>
          <w:i w:val="0"/>
          <w:strike w:val="0"/>
          <w:sz w:val="22"/>
          <w:u w:val="none"/>
        </w:rPr>
        <w:t>The other Shareholder shall have the right, exercisable by written notice within twenty (20) calendar days of receipt of the Transfer Notice or, where the price is redetermined, within twenty (20) calendar days of that redetermination, to acquire all (but not part only) of the shares specified in the Transfer Notice on the same price and terms.</w:t>
      </w:r>
    </w:p>
    <w:p>
      <w:pPr>
        <w:spacing w:after="120" w:before="0"/>
        <w:jc w:val="both"/>
      </w:pPr>
      <w:r>
        <w:rPr>
          <w:rFonts w:ascii="Times New Roman" w:hAnsi="Times New Roman"/>
          <w:b w:val="0"/>
          <w:i w:val="0"/>
          <w:strike w:val="0"/>
          <w:sz w:val="22"/>
          <w:u w:val="none"/>
        </w:rPr>
        <w:t>6.4</w:t>
        <w:tab/>
      </w:r>
      <w:r>
        <w:rPr>
          <w:rFonts w:ascii="Times New Roman" w:hAnsi="Times New Roman"/>
          <w:b w:val="0"/>
          <w:i w:val="0"/>
          <w:strike w:val="0"/>
          <w:sz w:val="22"/>
          <w:u w:val="none"/>
        </w:rPr>
        <w:t>Any transfer to an affiliate of the Selling Shareholder shall in all other respects remain subject to this clause 6, and the transferee affiliate shall be bound by the same restrictions on any subsequent transfer of the shares as applied to the Selling Shareholder.</w:t>
      </w:r>
    </w:p>
    <w:p>
      <w:pPr>
        <w:spacing w:after="60" w:before="80"/>
      </w:pPr>
      <w:r>
        <w:rPr>
          <w:rFonts w:ascii="Times New Roman" w:hAnsi="Times New Roman"/>
          <w:b/>
          <w:i w:val="0"/>
          <w:strike w:val="0"/>
          <w:sz w:val="22"/>
          <w:u w:val="none"/>
        </w:rPr>
        <w:t xml:space="preserve">7. </w:t>
      </w:r>
      <w:r>
        <w:rPr>
          <w:rFonts w:ascii="Times New Roman" w:hAnsi="Times New Roman"/>
          <w:b/>
          <w:i w:val="0"/>
          <w:strike w:val="0"/>
          <w:sz w:val="22"/>
          <w:u w:val="none"/>
        </w:rPr>
        <w:t>Non-Competition and Channel Exclusivity</w:t>
      </w:r>
    </w:p>
    <w:p>
      <w:pPr>
        <w:spacing w:after="160" w:before="0"/>
        <w:jc w:val="both"/>
      </w:pPr>
      <w:r>
        <w:rPr>
          <w:rFonts w:ascii="Times New Roman" w:hAnsi="Times New Roman"/>
          <w:b w:val="0"/>
          <w:i w:val="0"/>
          <w:strike w:val="0"/>
          <w:sz w:val="22"/>
          <w:u w:val="none"/>
        </w:rPr>
        <w:t>During the term of this Agreement and for a period of two (2) years following a Shareholder ceasing to hold shares in the Company, that Shareholder shall not, whether alone or together with any third party, distribute in Singapore any collectible merchandise range that competes with the Business, or any licensed merchandise tied to intellectual property that directly competes with the Folklore franchise, save for its existing business activities as at the date of this Agreement. Each Shareholder shall procure that the Company's products are not distributed, listed or sold through any channel other than those operated by or on behalf of the Company. For the avoidance of doubt, nothing in this clause restricts Trashi from continuing to operate its general online marketplace, provided that no competing collectible merchandise range is distributed, listed or sold through that channel.</w:t>
      </w:r>
    </w:p>
    <w:p>
      <w:pPr>
        <w:spacing w:after="60" w:before="80"/>
      </w:pPr>
      <w:r>
        <w:rPr>
          <w:rFonts w:ascii="Times New Roman" w:hAnsi="Times New Roman"/>
          <w:b/>
          <w:i w:val="0"/>
          <w:strike w:val="0"/>
          <w:sz w:val="22"/>
          <w:u w:val="none"/>
        </w:rPr>
        <w:t xml:space="preserve">8. </w:t>
      </w:r>
      <w:r>
        <w:rPr>
          <w:rFonts w:ascii="Times New Roman" w:hAnsi="Times New Roman"/>
          <w:b/>
          <w:i w:val="0"/>
          <w:strike w:val="0"/>
          <w:sz w:val="22"/>
          <w:u w:val="none"/>
        </w:rPr>
        <w:t>Default</w:t>
      </w:r>
    </w:p>
    <w:p>
      <w:pPr>
        <w:spacing w:after="160" w:before="0"/>
        <w:jc w:val="both"/>
      </w:pPr>
      <w:r>
        <w:rPr>
          <w:rFonts w:ascii="Times New Roman" w:hAnsi="Times New Roman"/>
          <w:b w:val="0"/>
          <w:i w:val="0"/>
          <w:strike w:val="0"/>
          <w:sz w:val="22"/>
          <w:u w:val="none"/>
        </w:rPr>
        <w:t>Where a Shareholder is in material default of its obligations under this Agreement and fails to remedy that default within thirty (30) days of written notice from the other Shareholder (a "Defaulting Shareholder"), then with effect from the expiry of that period and continuing until the default is remedied or the Defaulting Shareholder's shares are transferred in accordance with this Agreement, whichever first occurs: (a) any director nominated by the Defaulting Shareholder shall not be entitled to vote at, and shall not be counted towards the quorum for, any meeting of the Board; (b) the Defaulting Shareholder shall not be entitled to vote on, or to have its shareholding counted towards any quorum or approval threshold in respect of, any Reserved Matter; and (c) any distributions or other amounts otherwise payable to the Defaulting Shareholder shall be withheld and retained by the Company pending resolution of the default, and shall thereafter be paid to the Defaulting Shareholder (if the default is remedied) or to the transferee of its shares (if a transfer completes in accordance with this Agreement).</w:t>
      </w:r>
    </w:p>
    <w:p>
      <w:pPr>
        <w:spacing w:after="60" w:before="80"/>
      </w:pPr>
      <w:r>
        <w:rPr>
          <w:rFonts w:ascii="Times New Roman" w:hAnsi="Times New Roman"/>
          <w:b/>
          <w:i w:val="0"/>
          <w:strike w:val="0"/>
          <w:sz w:val="22"/>
          <w:u w:val="none"/>
        </w:rPr>
        <w:t xml:space="preserve">9. </w:t>
      </w:r>
      <w:r>
        <w:rPr>
          <w:rFonts w:ascii="Times New Roman" w:hAnsi="Times New Roman"/>
          <w:b/>
          <w:i w:val="0"/>
          <w:strike w:val="0"/>
          <w:sz w:val="22"/>
          <w:u w:val="none"/>
        </w:rPr>
        <w:t>Distributions</w:t>
      </w:r>
    </w:p>
    <w:p>
      <w:pPr>
        <w:spacing w:after="160" w:before="0"/>
        <w:jc w:val="both"/>
      </w:pPr>
      <w:r>
        <w:rPr>
          <w:rFonts w:ascii="Times New Roman" w:hAnsi="Times New Roman"/>
          <w:b w:val="0"/>
          <w:i w:val="0"/>
          <w:strike w:val="0"/>
          <w:sz w:val="22"/>
          <w:u w:val="none"/>
        </w:rPr>
        <w:t>Each Shareholder shall share in the profits and losses of the Company in the Agreed JV Proportion. The Company shall distribute all available profits, after retention of reasonable working capital and reserves as determined by the Board, to the Shareholders annually in the Agreed JV Proportion, save as otherwise determined by the Board acting in accordance with the Reserved Matters.</w:t>
      </w:r>
    </w:p>
    <w:p>
      <w:pPr>
        <w:spacing w:after="60" w:before="80"/>
      </w:pPr>
      <w:r>
        <w:rPr>
          <w:rFonts w:ascii="Times New Roman" w:hAnsi="Times New Roman"/>
          <w:b/>
          <w:i w:val="0"/>
          <w:strike w:val="0"/>
          <w:sz w:val="22"/>
          <w:u w:val="none"/>
        </w:rPr>
        <w:t xml:space="preserve">10. </w:t>
      </w:r>
      <w:r>
        <w:rPr>
          <w:rFonts w:ascii="Times New Roman" w:hAnsi="Times New Roman"/>
          <w:b/>
          <w:i w:val="0"/>
          <w:strike w:val="0"/>
          <w:sz w:val="22"/>
          <w:u w:val="none"/>
        </w:rPr>
        <w:t>Management Services Fee</w:t>
      </w:r>
    </w:p>
    <w:p>
      <w:pPr>
        <w:spacing w:after="160" w:before="0"/>
        <w:jc w:val="both"/>
      </w:pPr>
      <w:r>
        <w:rPr>
          <w:rFonts w:ascii="Times New Roman" w:hAnsi="Times New Roman"/>
          <w:b w:val="0"/>
          <w:i w:val="0"/>
          <w:strike w:val="0"/>
          <w:sz w:val="22"/>
          <w:u w:val="none"/>
        </w:rPr>
        <w:t>The Company shall enter into a services agreement with a subsidiary of Maximus in connection with the management and operation of the Business, under which that subsidiary shall be entitled to a fee of three per cent (3%) of the gross sales of the Company, payable quarterly in arrears. For the avoidance of doubt, the entry into and any material amendment of that services agreement is a Reserved Matter under clause 4(i).</w:t>
      </w:r>
    </w:p>
    <w:p>
      <w:pPr>
        <w:spacing w:after="60" w:before="80"/>
      </w:pPr>
      <w:r>
        <w:rPr>
          <w:rFonts w:ascii="Times New Roman" w:hAnsi="Times New Roman"/>
          <w:b/>
          <w:i w:val="0"/>
          <w:strike w:val="0"/>
          <w:sz w:val="22"/>
          <w:u w:val="none"/>
        </w:rPr>
        <w:t xml:space="preserve">11. </w:t>
      </w:r>
      <w:r>
        <w:rPr>
          <w:rFonts w:ascii="Times New Roman" w:hAnsi="Times New Roman"/>
          <w:b/>
          <w:i w:val="0"/>
          <w:strike w:val="0"/>
          <w:sz w:val="22"/>
          <w:u w:val="none"/>
        </w:rPr>
        <w:t>Confidentiality</w:t>
      </w:r>
    </w:p>
    <w:p>
      <w:pPr>
        <w:spacing w:after="160" w:before="0"/>
        <w:jc w:val="both"/>
      </w:pPr>
      <w:r>
        <w:rPr>
          <w:rFonts w:ascii="Times New Roman" w:hAnsi="Times New Roman"/>
          <w:b w:val="0"/>
          <w:i w:val="0"/>
          <w:strike w:val="0"/>
          <w:sz w:val="22"/>
          <w:u w:val="none"/>
        </w:rPr>
        <w:t>Information received from a Shareholder shall be kept confidential by the other Shareholder and by the Company, save as required to be disclosed by law or by any court or governmental, statutory or regulatory body, or as required to be disclosed to professional advisers under a corresponding duty of confidence.</w:t>
      </w:r>
    </w:p>
    <w:p>
      <w:pPr>
        <w:spacing w:after="60" w:before="80"/>
      </w:pPr>
      <w:r>
        <w:rPr>
          <w:rFonts w:ascii="Times New Roman" w:hAnsi="Times New Roman"/>
          <w:b/>
          <w:i w:val="0"/>
          <w:strike w:val="0"/>
          <w:sz w:val="22"/>
          <w:u w:val="none"/>
        </w:rPr>
        <w:t xml:space="preserve">12. </w:t>
      </w:r>
      <w:r>
        <w:rPr>
          <w:rFonts w:ascii="Times New Roman" w:hAnsi="Times New Roman"/>
          <w:b/>
          <w:i w:val="0"/>
          <w:strike w:val="0"/>
          <w:sz w:val="22"/>
          <w:u w:val="none"/>
        </w:rPr>
        <w:t>Dispute Resolution</w:t>
      </w:r>
    </w:p>
    <w:p>
      <w:pPr>
        <w:spacing w:after="160" w:before="0"/>
        <w:jc w:val="both"/>
      </w:pPr>
      <w:r>
        <w:rPr>
          <w:rFonts w:ascii="Times New Roman" w:hAnsi="Times New Roman"/>
          <w:b w:val="0"/>
          <w:i w:val="0"/>
          <w:strike w:val="0"/>
          <w:sz w:val="22"/>
          <w:u w:val="none"/>
        </w:rPr>
        <w:t>Any dispute arising out of or in connection with this Agreement, including any question regarding its existence, validity or termination, shall first be referred to good-faith negotiation between senior executives of the Shareholders for a period of fourteen (14) days. If the dispute is not resolved within that period, it shall be referred to mediation administered by the Singapore International Mediation Centre for a period of thirty (30) days. If the dispute remains unresolved following mediation, it shall be referred to and finally resolved by arbitration administered by the Singapore International Arbitration Centre in accordance with the Arbitration Rules of the Singapore International Arbitration Centre for the time being in force, which rules are deemed to be incorporated by reference into this clause. The seat of the arbitration shall be Singapore. The tribunal shall consist of one (1) arbitrator, provided that where the amount in dispute exceeds S$10,000,000 the tribunal shall consist of three (3) arbitrators. The language of the arbitration shall be English. Notwithstanding the foregoing, any dispute as to the fair value of shares under clause 5 or clause 6 shall be determined by the Expert Valuer in accordance with those clauses and not by arbitration.</w:t>
      </w:r>
    </w:p>
    <w:p>
      <w:pPr>
        <w:spacing w:after="60" w:before="80"/>
      </w:pPr>
      <w:r>
        <w:rPr>
          <w:rFonts w:ascii="Times New Roman" w:hAnsi="Times New Roman"/>
          <w:b/>
          <w:i w:val="0"/>
          <w:strike w:val="0"/>
          <w:sz w:val="22"/>
          <w:u w:val="none"/>
        </w:rPr>
        <w:t xml:space="preserve">13. </w:t>
      </w:r>
      <w:r>
        <w:rPr>
          <w:rFonts w:ascii="Times New Roman" w:hAnsi="Times New Roman"/>
          <w:b/>
          <w:i w:val="0"/>
          <w:strike w:val="0"/>
          <w:sz w:val="22"/>
          <w:u w:val="none"/>
        </w:rPr>
        <w:t>Rights of Third Parties</w:t>
      </w:r>
    </w:p>
    <w:p>
      <w:pPr>
        <w:spacing w:after="160" w:before="0"/>
        <w:jc w:val="both"/>
      </w:pPr>
      <w:r>
        <w:rPr>
          <w:rFonts w:ascii="Times New Roman" w:hAnsi="Times New Roman"/>
          <w:b w:val="0"/>
          <w:i w:val="0"/>
          <w:strike w:val="0"/>
          <w:sz w:val="22"/>
          <w:u w:val="none"/>
        </w:rPr>
        <w:t>A person who is not a party to this Agreement has no rights under the Contracts (Rights of Third Parties) Act 2001 to enforce any term of this Agreement.</w:t>
      </w:r>
    </w:p>
    <w:p>
      <w:pPr>
        <w:spacing w:after="60" w:before="80"/>
      </w:pPr>
      <w:r>
        <w:rPr>
          <w:rFonts w:ascii="Times New Roman" w:hAnsi="Times New Roman"/>
          <w:b/>
          <w:i w:val="0"/>
          <w:strike w:val="0"/>
          <w:sz w:val="22"/>
          <w:u w:val="none"/>
        </w:rPr>
        <w:t xml:space="preserve">14. </w:t>
      </w:r>
      <w:r>
        <w:rPr>
          <w:rFonts w:ascii="Times New Roman" w:hAnsi="Times New Roman"/>
          <w:b/>
          <w:i w:val="0"/>
          <w:strike w:val="0"/>
          <w:sz w:val="22"/>
          <w:u w:val="none"/>
        </w:rPr>
        <w:t>Governing Law</w:t>
      </w:r>
    </w:p>
    <w:p>
      <w:pPr>
        <w:spacing w:after="160" w:before="0"/>
        <w:jc w:val="both"/>
      </w:pPr>
      <w:r>
        <w:rPr>
          <w:rFonts w:ascii="Times New Roman" w:hAnsi="Times New Roman"/>
          <w:b w:val="0"/>
          <w:i w:val="0"/>
          <w:strike w:val="0"/>
          <w:sz w:val="22"/>
          <w:u w:val="none"/>
        </w:rPr>
        <w:t>This Agreement is governed by and shall be construed in accordance with the laws of Singapore.</w:t>
      </w:r>
    </w:p>
    <w:p>
      <w:pPr>
        <w:spacing w:after="120" w:before="0"/>
      </w:pPr>
    </w:p>
    <w:p>
      <w:pPr>
        <w:spacing w:after="200" w:before="0"/>
      </w:pPr>
      <w:r>
        <w:rPr>
          <w:rFonts w:ascii="Times New Roman" w:hAnsi="Times New Roman"/>
          <w:b/>
          <w:i w:val="0"/>
          <w:strike w:val="0"/>
          <w:sz w:val="22"/>
          <w:u w:val="none"/>
        </w:rPr>
        <w:t>EXECUTED as an agreement on 5 August 2026.</w:t>
      </w:r>
    </w:p>
    <w:tbl>
      <w:tblPr>
        <w:tblW w:type="auto" w:w="0"/>
        <w:tblLook w:firstColumn="1" w:firstRow="1" w:lastColumn="0" w:lastRow="0" w:noHBand="0" w:noVBand="1" w:val="04A0"/>
      </w:tblPr>
      <w:tblGrid>
        <w:gridCol w:w="4154"/>
        <w:gridCol w:w="4154"/>
      </w:tblGrid>
      <w:tr>
        <w:tc>
          <w:tcPr>
            <w:tcW w:type="dxa" w:w="4154"/>
          </w:tcPr>
          <w:p>
            <w:r/>
            <w:r>
              <w:rPr>
                <w:rFonts w:ascii="Times New Roman" w:hAnsi="Times New Roman"/>
                <w:b w:val="0"/>
                <w:i w:val="0"/>
                <w:strike w:val="0"/>
                <w:sz w:val="20"/>
                <w:u w:val="none"/>
              </w:rPr>
              <w:t>SIGNED by</w:t>
              <w:br/>
              <w:t>for and on behalf of</w:t>
              <w:br/>
              <w:t>MAXIMUS RETAIL GROUP PTE. LTD.</w:t>
              <w:br/>
              <w:t>in the presence of:</w:t>
            </w:r>
          </w:p>
        </w:tc>
        <w:tc>
          <w:tcPr>
            <w:tcW w:type="dxa" w:w="4154"/>
          </w:tcPr>
          <w:p>
            <w:r/>
            <w:r>
              <w:rPr>
                <w:rFonts w:ascii="Times New Roman" w:hAnsi="Times New Roman"/>
                <w:b w:val="0"/>
                <w:i w:val="0"/>
                <w:strike w:val="0"/>
                <w:sz w:val="20"/>
                <w:u w:val="none"/>
              </w:rPr>
              <w:t>SIGNED by</w:t>
              <w:br/>
              <w:t>for and on behalf of</w:t>
              <w:br/>
              <w:t>TRASHI DIGITAL PTE. LTD.</w:t>
              <w:br/>
              <w:t>in the presence of:</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