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SHAREHOLDERS AGREEMENT</w:t>
      </w:r>
    </w:p>
    <w:p>
      <w:pPr>
        <w:spacing w:after="120" w:before="0"/>
        <w:jc w:val="center"/>
      </w:pPr>
      <w:r>
        <w:rPr>
          <w:rFonts w:ascii="Times New Roman" w:hAnsi="Times New Roman"/>
          <w:b w:val="0"/>
          <w:i/>
          <w:strike w:val="0"/>
          <w:sz w:val="22"/>
          <w:u w:val="none"/>
        </w:rPr>
        <w:t>relating to Aurora Ventures Pte. Ltd.</w:t>
      </w:r>
    </w:p>
    <w:p>
      <w:pPr>
        <w:spacing w:after="120" w:before="0"/>
      </w:pPr>
    </w:p>
    <w:p>
      <w:pPr>
        <w:spacing w:after="120" w:before="0"/>
        <w:jc w:val="both"/>
      </w:pPr>
      <w:r>
        <w:rPr>
          <w:rFonts w:ascii="Times New Roman" w:hAnsi="Times New Roman"/>
          <w:b w:val="0"/>
          <w:i w:val="0"/>
          <w:strike w:val="0"/>
          <w:sz w:val="22"/>
          <w:u w:val="none"/>
        </w:rPr>
        <w:t>Parties: (1) Maximus Retail Group Pte. Ltd. (Company Registration No. 201133421K), whose registered office is at 8 Viridian Road, #08-08, Champions Tower, Singapore 518815 ("Maximus"); (2) Trashi Digital Pte. Ltd. (Company Registration No. 202004417M), whose registered office is at 18 Pallet Road, #01-11, Harbourfront Tower, Singapore 185285 ("Trashi"); and (3) Aurora Ventures Pte. Ltd. (Company Registration No. 202611908E) (the "Company"). Maximus and Trashi are each a "Shareholder" and collectively the "Shareholders".</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Business of the Company</w:t>
      </w:r>
    </w:p>
    <w:p>
      <w:pPr>
        <w:spacing w:after="160" w:before="0"/>
        <w:jc w:val="both"/>
      </w:pPr>
      <w:r>
        <w:rPr>
          <w:rFonts w:ascii="Times New Roman" w:hAnsi="Times New Roman"/>
          <w:b w:val="0"/>
          <w:i w:val="0"/>
          <w:strike w:val="0"/>
          <w:sz w:val="22"/>
          <w:u w:val="none"/>
        </w:rPr>
        <w:t>The business of the Company shall be to hold the exclusive Singapore distributorship for the Folklore collectible merchandise range and to develop, operate and carry on that business (the "Business").</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Shareholding</w:t>
      </w:r>
    </w:p>
    <w:p>
      <w:pPr>
        <w:spacing w:after="160" w:before="0"/>
        <w:jc w:val="both"/>
      </w:pPr>
      <w:r>
        <w:rPr>
          <w:rFonts w:ascii="Times New Roman" w:hAnsi="Times New Roman"/>
          <w:b w:val="0"/>
          <w:i w:val="0"/>
          <w:strike w:val="0"/>
          <w:sz w:val="22"/>
          <w:u w:val="none"/>
        </w:rPr>
        <w:t>The issued share capital of the Company shall be held as to sixty-five per cent (65%) by Maximus and thirty-five per cent (35%) by Trashi.</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Board Composition</w:t>
      </w:r>
    </w:p>
    <w:p>
      <w:pPr>
        <w:spacing w:after="160" w:before="0"/>
        <w:jc w:val="both"/>
      </w:pPr>
      <w:r>
        <w:rPr>
          <w:rFonts w:ascii="Times New Roman" w:hAnsi="Times New Roman"/>
          <w:b w:val="0"/>
          <w:i w:val="0"/>
          <w:strike w:val="0"/>
          <w:sz w:val="22"/>
          <w:u w:val="none"/>
        </w:rPr>
        <w:t>The Board shall comprise five (5) directors. Maximus may nominate three (3) directors and Trashi may nominate two (2). The chairperson shall be nominated by Trashi and shall have a casting vote.</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Reserved Matters</w:t>
      </w:r>
    </w:p>
    <w:p>
      <w:pPr>
        <w:spacing w:after="160" w:before="0"/>
        <w:jc w:val="both"/>
      </w:pPr>
      <w:r>
        <w:rPr>
          <w:rFonts w:ascii="Times New Roman" w:hAnsi="Times New Roman"/>
          <w:b w:val="0"/>
          <w:i w:val="0"/>
          <w:strike w:val="0"/>
          <w:sz w:val="22"/>
          <w:u w:val="none"/>
        </w:rPr>
        <w:t>The following matters shall require the unanimous approval of the Shareholders: (a) any amendment to this Agreement or to the constitution of the Company; (b) any external financing; (c) the approval of the annual budget and business plan; (d) the appointment and removal of the auditors; (e) the entry into or amendment of the Distributorship Agreement; (f) the dividend distribution policy; (g) the admission of any additional shareholder; and (h) the winding up of the Company.</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Deadlock</w:t>
      </w:r>
    </w:p>
    <w:p>
      <w:pPr>
        <w:spacing w:after="160" w:before="0"/>
        <w:jc w:val="both"/>
      </w:pPr>
      <w:r>
        <w:rPr>
          <w:rFonts w:ascii="Times New Roman" w:hAnsi="Times New Roman"/>
          <w:b w:val="0"/>
          <w:i w:val="0"/>
          <w:strike w:val="0"/>
          <w:sz w:val="22"/>
          <w:u w:val="none"/>
        </w:rPr>
        <w:t>If the Shareholders cannot agree on a Reserved Matter, either Shareholder may serve a notice requiring the other to buy its shares or to sell its shares to it at a price to be agreed, failing which the Company shall be wound up.</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Transfer of Shares</w:t>
      </w:r>
    </w:p>
    <w:p>
      <w:pPr>
        <w:spacing w:after="160" w:before="0"/>
        <w:jc w:val="both"/>
      </w:pPr>
      <w:r>
        <w:rPr>
          <w:rFonts w:ascii="Times New Roman" w:hAnsi="Times New Roman"/>
          <w:b w:val="0"/>
          <w:i w:val="0"/>
          <w:strike w:val="0"/>
          <w:sz w:val="22"/>
          <w:u w:val="none"/>
        </w:rPr>
        <w:t>No Shareholder shall transfer any of its shares without the prior written consent of the other Shareholder until the expiry of three (3) years from the date of incorporation of the Company. Thereafter, shares may be transferred subject to a right of first refusal in favour of the other Shareholder exercisable within twenty (20) calendar days.</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Non-Competition</w:t>
      </w:r>
    </w:p>
    <w:p>
      <w:pPr>
        <w:spacing w:after="160" w:before="0"/>
        <w:jc w:val="both"/>
      </w:pPr>
      <w:r>
        <w:rPr>
          <w:rFonts w:ascii="Times New Roman" w:hAnsi="Times New Roman"/>
          <w:b w:val="0"/>
          <w:i w:val="0"/>
          <w:strike w:val="0"/>
          <w:sz w:val="22"/>
          <w:u w:val="none"/>
        </w:rPr>
        <w:t>During the term of this Agreement and for a period of two (2) years following a Shareholder ceasing to hold shares in the Company, that Shareholder shall not distribute in Singapore any collectible merchandise range that competes with the Business.</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and shall be construed in accordance with the laws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