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INTERNAL PRECEDENT - FICTIONAL SAMPLE</w:t>
      </w:r>
    </w:p>
    <w:p>
      <w:r>
        <w:t xml:space="preserve"/>
      </w:r>
    </w:p>
    <w:p>
      <w:r>
        <w:t xml:space="preserve"/>
      </w:r>
    </w:p>
    <w:p>
      <w:r>
        <w:t xml:space="preserve"/>
      </w:r>
    </w:p>
    <w:p>
      <w:r>
        <w:t xml:space="preserve">Cybersecurity Compliance Manual</w:t>
      </w:r>
    </w:p>
    <w:p>
      <w:r>
        <w:t xml:space="preserve"/>
      </w:r>
    </w:p>
    <w:p>
      <w:r>
        <w:t xml:space="preserve"/>
      </w:r>
    </w:p>
    <w:p>
      <w:r>
        <w:t xml:space="preserve"/>
      </w:r>
    </w:p>
    <w:p>
      <w:r>
        <w:t xml:space="preserve">Internal manual: LionCity Essential Services Pte. Ltd.</w:t>
      </w:r>
    </w:p>
    <w:p>
      <w:r>
        <w:t xml:space="preserve"/>
      </w:r>
    </w:p>
    <w:p>
      <w:r>
        <w:t xml:space="preserve"/>
      </w:r>
    </w:p>
    <w:p>
      <w:r>
        <w:t xml:space="preserve"/>
      </w:r>
    </w:p>
    <w:p>
      <w:r>
        <w:t xml:space="preserve">Prepared as a fictional law-firm database precedent. Originally based on the Cybersecurity Act 2018, 2020 Revised Edition, informal consolidation in force from 11 April 2022.</w:t>
      </w:r>
    </w:p>
    <w:p>
      <w:r>
        <w:t xml:space="preserve"/>
      </w:r>
    </w:p>
    <w:p>
      <w:r>
        <w:t xml:space="preserve"/>
      </w:r>
    </w:p>
    <w:p>
      <w:r>
        <w:t xml:space="preserve"/>
      </w:r>
    </w:p>
    <w:p>
      <w:r>
        <w:t xml:space="preserve"/>
      </w:r>
    </w:p>
    <w:p>
      <w:r>
        <w:t xml:space="preserve"/>
      </w:r>
    </w:p>
    <w:p>
      <w:r>
        <w:t xml:space="preserve"/>
      </w:r>
    </w:p>
    <w:p>
      <w:r>
        <w:t xml:space="preserve">Document Owner: General Counsel / CISO | Version: 2.0 | Classification: Internal | Review Cycle: Annual and on material legal change</w:t>
      </w:r>
    </w:p>
    <w:p>
      <w:r>
        <w:t xml:space="preserve"/>
      </w:r>
    </w:p>
    <w:p>
      <w:r>
        <w:t xml:space="preserve"/>
      </w:r>
    </w:p>
    <w:p>
      <w:r>
        <w:t xml:space="preserve"/>
      </w:r>
    </w:p>
    <w:p>
      <w:r>
        <w:t xml:space="preserve">1. Purpose</w:t>
      </w:r>
    </w:p>
    <w:p>
      <w:r>
        <w:t xml:space="preserve"/>
      </w:r>
    </w:p>
    <w:p>
      <w:r>
        <w:t xml:space="preserve"/>
      </w:r>
    </w:p>
    <w:p>
      <w:r>
        <w:t xml:space="preserve"/>
      </w:r>
    </w:p>
    <w:p>
      <w:r>
        <w:t xml:space="preserve">This Manual establishes governance and operational procedures for compliance with the Cybersecurity Act 2018 in relation to systems that are, or may be, designated as provider-owned or third-party-owned critical information infrastructure. It is designed for Legal, Cybersecurity, IT Operations, Procurement and Business Continuity teams.</w:t>
      </w:r>
    </w:p>
    <w:p>
      <w:r>
        <w:t xml:space="preserve"/>
      </w:r>
    </w:p>
    <w:p>
      <w:r>
        <w:t xml:space="preserve"/>
      </w:r>
    </w:p>
    <w:p>
      <w:r>
        <w:t xml:space="preserve"/>
      </w:r>
    </w:p>
    <w:p>
      <w:r>
        <w:t xml:space="preserve">2. Core Principles</w:t>
      </w:r>
    </w:p>
    <w:p>
      <w:r>
        <w:t xml:space="preserve"/>
      </w:r>
    </w:p>
    <w:p>
      <w:r>
        <w:t xml:space="preserve"/>
      </w:r>
    </w:p>
    <w:p>
      <w:r>
        <w:t xml:space="preserve"/>
      </w:r>
    </w:p>
    <w:p>
      <w:r>
        <w:t xml:space="preserve">Maintain an accurate register of designated CII, system owners, supervising regulatory contacts, interconnections and supporting vendors.</w:t>
      </w:r>
    </w:p>
    <w:p>
      <w:r>
        <w:t xml:space="preserve"/>
      </w:r>
    </w:p>
    <w:p>
      <w:r>
        <w:t xml:space="preserve"/>
      </w:r>
    </w:p>
    <w:p>
      <w:r>
        <w:t xml:space="preserve"/>
      </w:r>
    </w:p>
    <w:p>
      <w:r>
        <w:t xml:space="preserve">Treat cybersecurity as protecting availability and operation of systems, integrity of systems, and integrity and confidentiality of information.</w:t>
      </w:r>
    </w:p>
    <w:p>
      <w:r>
        <w:t xml:space="preserve"/>
      </w:r>
    </w:p>
    <w:p>
      <w:r>
        <w:t xml:space="preserve"/>
      </w:r>
    </w:p>
    <w:p>
      <w:r>
        <w:t xml:space="preserve"/>
      </w:r>
    </w:p>
    <w:p>
      <w:r>
        <w:t xml:space="preserve">Escalate regulatory deadlines immediately to Legal and the CISO.</w:t>
      </w:r>
    </w:p>
    <w:p>
      <w:r>
        <w:t xml:space="preserve"/>
      </w:r>
    </w:p>
    <w:p>
      <w:r>
        <w:t xml:space="preserve"/>
      </w:r>
    </w:p>
    <w:p>
      <w:r>
        <w:t xml:space="preserve"/>
      </w:r>
    </w:p>
    <w:p>
      <w:r>
        <w:t xml:space="preserve">Do not assume outsourcing transfers the organisation’s statutory duties — outsourced infrastructure instead brings the organisation's own duties as a designated provider under Part 3A into play.</w:t>
      </w:r>
    </w:p>
    <w:p>
      <w:r>
        <w:t xml:space="preserve"/>
      </w:r>
    </w:p>
    <w:p>
      <w:r>
        <w:t xml:space="preserve"/>
      </w:r>
    </w:p>
    <w:p>
      <w:r>
        <w:t xml:space="preserve"/>
      </w:r>
    </w:p>
    <w:p>
      <w:r>
        <w:t xml:space="preserve">3. CII Information Register</w:t>
      </w:r>
    </w:p>
    <w:p>
      <w:r>
        <w:t xml:space="preserve"/>
      </w:r>
    </w:p>
    <w:p>
      <w:r>
        <w:t xml:space="preserve"/>
      </w:r>
    </w:p>
    <w:p>
      <w:r>
        <w:t xml:space="preserve"/>
      </w:r>
    </w:p>
    <w:p>
      <w:r>
        <w:t xml:space="preserve">Legal and Technology Risk shall maintain sufficient records to answer requests concerning the design, configuration, security and operation of CII and connected systems, noting for each entry whether the system is provider-owned or third-party-owned, since the two carry different regulatory regimes. Vendor contracts must allow the organisation to obtain relevant information promptly.</w:t>
      </w:r>
    </w:p>
    <w:p>
      <w:r>
        <w:t xml:space="preserve"/>
      </w:r>
    </w:p>
    <w:p>
      <w:r>
        <w:t xml:space="preserve"/>
      </w:r>
    </w:p>
    <w:p>
      <w:r>
        <w:t xml:space="preserve"/>
      </w:r>
    </w:p>
    <w:p>
      <w:r>
        <w:t xml:space="preserve">4. Material Change Procedure</w:t>
      </w:r>
    </w:p>
    <w:p>
      <w:r>
        <w:t xml:space="preserve"/>
      </w:r>
    </w:p>
    <w:p>
      <w:r>
        <w:t xml:space="preserve"/>
      </w:r>
    </w:p>
    <w:p>
      <w:r>
        <w:t xml:space="preserve"/>
      </w:r>
    </w:p>
    <w:p>
      <w:r>
        <w:t xml:space="preserve">Before significant architecture, cloud, security, operational or interconnection changes, the change owner must complete a Cybersecurity Material Change Assessment. A change is treated as potentially material where it affects or may affect CII cybersecurity or the organisation’s ability to respond to a threat or incident.</w:t>
      </w:r>
    </w:p>
    <w:p>
      <w:r>
        <w:t xml:space="preserve"/>
      </w:r>
    </w:p>
    <w:p>
      <w:r>
        <w:t xml:space="preserve"/>
      </w:r>
    </w:p>
    <w:p>
      <w:r>
        <w:t xml:space="preserve"/>
      </w:r>
    </w:p>
    <w:p>
      <w:r>
        <w:t xml:space="preserve">Where the change relates to provider-owned CII, section 10(5) applies and the owner must notify the Commissioner in the prescribed manner and period. Where the change relates to third-party-owned CII for which the organisation is the designated provider, the organisation must notify the Commissioner of the change not later than 30 days after becoming aware of it (sections 16E(8) and 16K) — not the 30 days this Manual previously stated.</w:t>
      </w:r>
    </w:p>
    <w:p>
      <w:r>
        <w:t xml:space="preserve"/>
      </w:r>
    </w:p>
    <w:p>
      <w:r>
        <w:t xml:space="preserve"/>
      </w:r>
    </w:p>
    <w:p>
      <w:r>
        <w:t xml:space="preserve"/>
      </w:r>
    </w:p>
    <w:p>
      <w:r>
        <w:t xml:space="preserve">For any third-party-owned CII, the organisation must also obtain from the infrastructure owner a legally binding commitment covering: information furnishing (s 16E), conformance with prescribed technical standards (s 16F), notice of any change in beneficial or legal ownership within 7 days (s 16H), incident reporting (s 16I), and cooperation with audits and risk assessments (s 16J). Failing to obtain these commitments, or failing to act on them within the prescribed periods, is itself an offence under Part 3A.</w:t>
      </w:r>
    </w:p>
    <w:p>
      <w:r>
        <w:t xml:space="preserve"/>
      </w:r>
    </w:p>
    <w:p>
      <w:r>
        <w:t xml:space="preserve"/>
      </w:r>
    </w:p>
    <w:p>
      <w:r>
        <w:t xml:space="preserve"/>
      </w:r>
    </w:p>
    <w:p>
      <w:r>
        <w:t xml:space="preserve">5. Codes, Standards and Written Directions</w:t>
      </w:r>
    </w:p>
    <w:p>
      <w:r>
        <w:t xml:space="preserve"/>
      </w:r>
    </w:p>
    <w:p>
      <w:r>
        <w:t xml:space="preserve"/>
      </w:r>
    </w:p>
    <w:p>
      <w:r>
        <w:t xml:space="preserve"/>
      </w:r>
    </w:p>
    <w:p>
      <w:r>
        <w:t xml:space="preserve">Legal shall maintain a controlled register of applicable codes of practice, standards of performance and written directions. Business owners must implement applicable requirements. Any waiver must be documented. This regime is now set out in section 35A of the Act (the former section 11 was deleted by the 2024 amendment) and covers owners of provider-owned CII, designated providers responsible for third-party-owned CII, and other newly regulated categories — not only “CII owners” as previously understood. Codes and standards of performance issued under section 35A have no legislative effect in themselves.</w:t>
      </w:r>
    </w:p>
    <w:p>
      <w:r>
        <w:t xml:space="preserve"/>
      </w:r>
    </w:p>
    <w:p>
      <w:r>
        <w:t xml:space="preserve"/>
      </w:r>
    </w:p>
    <w:p>
      <w:r>
        <w:t xml:space="preserve"/>
      </w:r>
    </w:p>
    <w:p>
      <w:r>
        <w:t xml:space="preserve">6. Incident Detection and Reporting</w:t>
      </w:r>
    </w:p>
    <w:p>
      <w:r>
        <w:t xml:space="preserve"/>
      </w:r>
    </w:p>
    <w:p>
      <w:r>
        <w:t xml:space="preserve"/>
      </w:r>
    </w:p>
    <w:p>
      <w:r>
        <w:t xml:space="preserve"/>
      </w:r>
    </w:p>
    <w:p>
      <w:r>
        <w:t xml:space="preserve">The Security Operations Centre shall maintain mechanisms and processes to detect threats and incidents in accordance with applicable requirements. All personnel and vendors must immediately escalate suspected incidents affecting CII or connected systems.</w:t>
      </w:r>
    </w:p>
    <w:p>
      <w:r>
        <w:t xml:space="preserve"/>
      </w:r>
    </w:p>
    <w:p>
      <w:r>
        <w:t xml:space="preserve"/>
      </w:r>
    </w:p>
    <w:p>
      <w:r>
        <w:t xml:space="preserve"/>
      </w:r>
    </w:p>
    <w:p>
      <w:r>
        <w:t xml:space="preserve">The Incident Commander and Legal shall determine whether the incident falls within a prescribed category or a written direction requiring notification. Following the 2024 amendment, reportable incidents under section 14 also expressly include incidents on other computer systems under the organisation’s control beyond the CII itself, and incidents on any supplier-controlled system that interconnects with the CII (section 14(1)(ba) and (bb)). The statutory notification must be made in the prescribed form, manner and period; those details must be checked against the currently applicable subsidiary legislation and directions rather than assumed from this Manual.</w:t>
      </w:r>
    </w:p>
    <w:p>
      <w:r>
        <w:t xml:space="preserve"/>
      </w:r>
    </w:p>
    <w:p>
      <w:r>
        <w:t xml:space="preserve"/>
      </w:r>
    </w:p>
    <w:p>
      <w:r>
        <w:t xml:space="preserve"/>
      </w:r>
    </w:p>
    <w:p>
      <w:r>
        <w:t xml:space="preserve">7. Audit and Risk Assessment Calendar</w:t>
      </w:r>
    </w:p>
    <w:p>
      <w:r>
        <w:t xml:space="preserve"/>
      </w:r>
    </w:p>
    <w:p>
      <w:r>
        <w:t xml:space="preserve"/>
      </w:r>
    </w:p>
    <w:p>
      <w:r>
        <w:t xml:space="preserve"/>
      </w:r>
    </w:p>
    <w:p>
      <w:r>
        <w:t xml:space="preserve">Activity</w:t>
      </w:r>
    </w:p>
    <w:p>
      <w:r>
        <w:t xml:space="preserve"/>
      </w:r>
    </w:p>
    <w:p>
      <w:r>
        <w:t xml:space="preserve"/>
      </w:r>
    </w:p>
    <w:p>
      <w:r>
        <w:t xml:space="preserve"/>
      </w:r>
    </w:p>
    <w:p>
      <w:r>
        <w:t xml:space="preserve">Minimum Act frequency</w:t>
      </w:r>
    </w:p>
    <w:p>
      <w:r>
        <w:t xml:space="preserve"/>
      </w:r>
    </w:p>
    <w:p>
      <w:r>
        <w:t xml:space="preserve"/>
      </w:r>
    </w:p>
    <w:p>
      <w:r>
        <w:t xml:space="preserve"/>
      </w:r>
    </w:p>
    <w:p>
      <w:r>
        <w:t xml:space="preserve">Owner</w:t>
      </w:r>
    </w:p>
    <w:p>
      <w:r>
        <w:t xml:space="preserve"/>
      </w:r>
    </w:p>
    <w:p>
      <w:r>
        <w:t xml:space="preserve"/>
      </w:r>
    </w:p>
    <w:p>
      <w:r>
        <w:t xml:space="preserve"/>
      </w:r>
    </w:p>
    <w:p>
      <w:r>
        <w:t xml:space="preserve">Evidence</w:t>
      </w:r>
    </w:p>
    <w:p>
      <w:r>
        <w:t xml:space="preserve"/>
      </w:r>
    </w:p>
    <w:p>
      <w:r>
        <w:t xml:space="preserve"/>
      </w:r>
    </w:p>
    <w:p>
      <w:r>
        <w:t xml:space="preserve"/>
      </w:r>
    </w:p>
    <w:p>
      <w:r>
        <w:t xml:space="preserve">CII compliance audit</w:t>
      </w:r>
    </w:p>
    <w:p>
      <w:r>
        <w:t xml:space="preserve"/>
      </w:r>
    </w:p>
    <w:p>
      <w:r>
        <w:t xml:space="preserve"/>
      </w:r>
    </w:p>
    <w:p>
      <w:r>
        <w:t xml:space="preserve"/>
      </w:r>
    </w:p>
    <w:p>
      <w:r>
        <w:t xml:space="preserve">At least once every 2 years, or higher frequency if directed</w:t>
      </w:r>
    </w:p>
    <w:p>
      <w:r>
        <w:t xml:space="preserve"/>
      </w:r>
    </w:p>
    <w:p>
      <w:r>
        <w:t xml:space="preserve"/>
      </w:r>
    </w:p>
    <w:p>
      <w:r>
        <w:t xml:space="preserve"/>
      </w:r>
    </w:p>
    <w:p>
      <w:r>
        <w:t xml:space="preserve">CISO / Legal</w:t>
      </w:r>
    </w:p>
    <w:p>
      <w:r>
        <w:t xml:space="preserve"/>
      </w:r>
    </w:p>
    <w:p>
      <w:r>
        <w:t xml:space="preserve"/>
      </w:r>
    </w:p>
    <w:p>
      <w:r>
        <w:t xml:space="preserve"/>
      </w:r>
    </w:p>
    <w:p>
      <w:r>
        <w:t xml:space="preserve">Approved auditor report</w:t>
      </w:r>
    </w:p>
    <w:p>
      <w:r>
        <w:t xml:space="preserve"/>
      </w:r>
    </w:p>
    <w:p>
      <w:r>
        <w:t xml:space="preserve"/>
      </w:r>
    </w:p>
    <w:p>
      <w:r>
        <w:t xml:space="preserve"/>
      </w:r>
    </w:p>
    <w:p>
      <w:r>
        <w:t xml:space="preserve">CII cybersecurity risk assessment</w:t>
      </w:r>
    </w:p>
    <w:p>
      <w:r>
        <w:t xml:space="preserve"/>
      </w:r>
    </w:p>
    <w:p>
      <w:r>
        <w:t xml:space="preserve"/>
      </w:r>
    </w:p>
    <w:p>
      <w:r>
        <w:t xml:space="preserve"/>
      </w:r>
    </w:p>
    <w:p>
      <w:r>
        <w:t xml:space="preserve">At least once every year</w:t>
      </w:r>
    </w:p>
    <w:p>
      <w:r>
        <w:t xml:space="preserve"/>
      </w:r>
    </w:p>
    <w:p>
      <w:r>
        <w:t xml:space="preserve"/>
      </w:r>
    </w:p>
    <w:p>
      <w:r>
        <w:t xml:space="preserve"/>
      </w:r>
    </w:p>
    <w:p>
      <w:r>
        <w:t xml:space="preserve">Technology Risk</w:t>
      </w:r>
    </w:p>
    <w:p>
      <w:r>
        <w:t xml:space="preserve"/>
      </w:r>
    </w:p>
    <w:p>
      <w:r>
        <w:t xml:space="preserve"/>
      </w:r>
    </w:p>
    <w:p>
      <w:r>
        <w:t xml:space="preserve"/>
      </w:r>
    </w:p>
    <w:p>
      <w:r>
        <w:t xml:space="preserve">Risk assessment report</w:t>
      </w:r>
    </w:p>
    <w:p>
      <w:r>
        <w:t xml:space="preserve"/>
      </w:r>
    </w:p>
    <w:p>
      <w:r>
        <w:t xml:space="preserve"/>
      </w:r>
    </w:p>
    <w:p>
      <w:r>
        <w:t xml:space="preserve"/>
      </w:r>
    </w:p>
    <w:p>
      <w:r>
        <w:t xml:space="preserve">Submit audit / assessment report to the Commissioner</w:t>
      </w:r>
    </w:p>
    <w:p>
      <w:r>
        <w:t xml:space="preserve"/>
      </w:r>
    </w:p>
    <w:p>
      <w:r>
        <w:t xml:space="preserve"/>
      </w:r>
    </w:p>
    <w:p>
      <w:r>
        <w:t xml:space="preserve"/>
      </w:r>
    </w:p>
    <w:p>
      <w:r>
        <w:t xml:space="preserve">Within 30 days after completion (third-party-owned CII: within 30 days of receipt of the report)</w:t>
      </w:r>
    </w:p>
    <w:p>
      <w:r>
        <w:t xml:space="preserve"/>
      </w:r>
    </w:p>
    <w:p>
      <w:r>
        <w:t xml:space="preserve"/>
      </w:r>
    </w:p>
    <w:p>
      <w:r>
        <w:t xml:space="preserve"/>
      </w:r>
    </w:p>
    <w:p>
      <w:r>
        <w:t xml:space="preserve">Legal</w:t>
      </w:r>
    </w:p>
    <w:p>
      <w:r>
        <w:t xml:space="preserve"/>
      </w:r>
    </w:p>
    <w:p>
      <w:r>
        <w:t xml:space="preserve"/>
      </w:r>
    </w:p>
    <w:p>
      <w:r>
        <w:t xml:space="preserve"/>
      </w:r>
    </w:p>
    <w:p>
      <w:r>
        <w:t xml:space="preserve">Submission record</w:t>
      </w:r>
    </w:p>
    <w:p>
      <w:r>
        <w:t xml:space="preserve"/>
      </w:r>
    </w:p>
    <w:p>
      <w:r>
        <w:t xml:space="preserve"/>
      </w:r>
    </w:p>
    <w:p>
      <w:r>
        <w:t xml:space="preserve"/>
      </w:r>
    </w:p>
    <w:p>
      <w:r>
        <w:t xml:space="preserve">Post-material-change reassessment</w:t>
      </w:r>
    </w:p>
    <w:p>
      <w:r>
        <w:t xml:space="preserve"/>
      </w:r>
    </w:p>
    <w:p>
      <w:r>
        <w:t xml:space="preserve"/>
      </w:r>
    </w:p>
    <w:p>
      <w:r>
        <w:t xml:space="preserve"/>
      </w:r>
    </w:p>
    <w:p>
      <w:r>
        <w:t xml:space="preserve">If directed by Commissioner</w:t>
      </w:r>
    </w:p>
    <w:p>
      <w:r>
        <w:t xml:space="preserve"/>
      </w:r>
    </w:p>
    <w:p>
      <w:r>
        <w:t xml:space="preserve"/>
      </w:r>
    </w:p>
    <w:p>
      <w:r>
        <w:t xml:space="preserve"/>
      </w:r>
    </w:p>
    <w:p>
      <w:r>
        <w:t xml:space="preserve">CISO</w:t>
      </w:r>
    </w:p>
    <w:p>
      <w:r>
        <w:t xml:space="preserve"/>
      </w:r>
    </w:p>
    <w:p>
      <w:r>
        <w:t xml:space="preserve"/>
      </w:r>
    </w:p>
    <w:p>
      <w:r>
        <w:t xml:space="preserve"/>
      </w:r>
    </w:p>
    <w:p>
      <w:r>
        <w:t xml:space="preserve">Audit / assessment evidence</w:t>
      </w:r>
    </w:p>
    <w:p>
      <w:r>
        <w:t xml:space="preserve"/>
      </w:r>
    </w:p>
    <w:p>
      <w:r>
        <w:t xml:space="preserve"/>
      </w:r>
    </w:p>
    <w:p>
      <w:r>
        <w:t xml:space="preserve"/>
      </w:r>
    </w:p>
    <w:p>
      <w:r>
        <w:t xml:space="preserve">The prescribed submission window is 30 days (section 15).</w:t>
      </w:r>
    </w:p>
    <w:p>
      <w:r>
        <w:t xml:space="preserve"/>
      </w:r>
    </w:p>
    <w:p>
      <w:r>
        <w:t xml:space="preserve"/>
      </w:r>
    </w:p>
    <w:p>
      <w:r>
        <w:t xml:space="preserve"/>
      </w:r>
    </w:p>
    <w:p>
      <w:r>
        <w:t xml:space="preserve">8. Regulatory Investigation Response</w:t>
      </w:r>
    </w:p>
    <w:p>
      <w:r>
        <w:t xml:space="preserve"/>
      </w:r>
    </w:p>
    <w:p>
      <w:r>
        <w:t xml:space="preserve"/>
      </w:r>
    </w:p>
    <w:p>
      <w:r>
        <w:t xml:space="preserve"/>
      </w:r>
    </w:p>
    <w:p>
      <w:r>
        <w:t xml:space="preserve">On receipt of a regulatory notice, direction or request, staff must preserve relevant records, notify Legal and the CISO, verify the authority and scope of the request, and cooperate with lawful requirements. Systems must not be altered in a way that frustrates preservation or investigation. Legal shall separately assess any applicable privilege, immunity or professional-conduct restriction.</w:t>
      </w:r>
    </w:p>
    <w:p>
      <w:r>
        <w:t xml:space="preserve"/>
      </w:r>
    </w:p>
    <w:p>
      <w:r>
        <w:t xml:space="preserve"/>
      </w:r>
    </w:p>
    <w:p>
      <w:r>
        <w:t xml:space="preserve"/>
      </w:r>
    </w:p>
    <w:p>
      <w:r>
        <w:t xml:space="preserve">9. Cybersecurity Service Providers</w:t>
      </w:r>
    </w:p>
    <w:p>
      <w:r>
        <w:t xml:space="preserve"/>
      </w:r>
    </w:p>
    <w:p>
      <w:r>
        <w:t xml:space="preserve"/>
      </w:r>
    </w:p>
    <w:p>
      <w:r>
        <w:t xml:space="preserve"/>
      </w:r>
    </w:p>
    <w:p>
      <w:r>
        <w:t xml:space="preserve">Procurement must identify whether a supplier provides a licensable cybersecurity service. Under the Act’s Second Schedule, managed SOC monitoring and penetration testing are licensable services. Procurement must record evidence of any required licence before engagement and periodically re-check it.</w:t>
      </w:r>
    </w:p>
    <w:p>
      <w:r>
        <w:t xml:space="preserve"/>
      </w:r>
    </w:p>
    <w:p>
      <w:r>
        <w:t xml:space="preserve"/>
      </w:r>
    </w:p>
    <w:p>
      <w:r>
        <w:t xml:space="preserve"/>
      </w:r>
    </w:p>
    <w:p>
      <w:r>
        <w:t xml:space="preserve">10. Vendor Management</w:t>
      </w:r>
    </w:p>
    <w:p>
      <w:r>
        <w:t xml:space="preserve"/>
      </w:r>
    </w:p>
    <w:p>
      <w:r>
        <w:t xml:space="preserve"/>
      </w:r>
    </w:p>
    <w:p>
      <w:r>
        <w:t xml:space="preserve"/>
      </w:r>
    </w:p>
    <w:p>
      <w:r>
        <w:t xml:space="preserve">Classify vendors by system access, data sensitivity and operational criticality.</w:t>
      </w:r>
    </w:p>
    <w:p>
      <w:r>
        <w:t xml:space="preserve"/>
      </w:r>
    </w:p>
    <w:p>
      <w:r>
        <w:t xml:space="preserve"/>
      </w:r>
    </w:p>
    <w:p>
      <w:r>
        <w:t xml:space="preserve"/>
      </w:r>
    </w:p>
    <w:p>
      <w:r>
        <w:t xml:space="preserve">Require incident notification, evidence preservation, regulatory cooperation and audit support.</w:t>
      </w:r>
    </w:p>
    <w:p>
      <w:r>
        <w:t xml:space="preserve"/>
      </w:r>
    </w:p>
    <w:p>
      <w:r>
        <w:t xml:space="preserve"/>
      </w:r>
    </w:p>
    <w:p>
      <w:r>
        <w:t xml:space="preserve"/>
      </w:r>
    </w:p>
    <w:p>
      <w:r>
        <w:t xml:space="preserve">Document subcontractors and material changes to outsourced architecture.</w:t>
      </w:r>
    </w:p>
    <w:p>
      <w:r>
        <w:t xml:space="preserve"/>
      </w:r>
    </w:p>
    <w:p>
      <w:r>
        <w:t xml:space="preserve"/>
      </w:r>
    </w:p>
    <w:p>
      <w:r>
        <w:t xml:space="preserve"/>
      </w:r>
    </w:p>
    <w:p>
      <w:r>
        <w:t xml:space="preserve">Maintain exit, backup and recovery plans for critical suppliers.</w:t>
      </w:r>
    </w:p>
    <w:p>
      <w:r>
        <w:t xml:space="preserve"/>
      </w:r>
    </w:p>
    <w:p>
      <w:r>
        <w:t xml:space="preserve"/>
      </w:r>
    </w:p>
    <w:p>
      <w:r>
        <w:t xml:space="preserve"/>
      </w:r>
    </w:p>
    <w:p>
      <w:r>
        <w:t xml:space="preserve">11. Roles and Escalation</w:t>
      </w:r>
    </w:p>
    <w:p>
      <w:r>
        <w:t xml:space="preserve"/>
      </w:r>
    </w:p>
    <w:p>
      <w:r>
        <w:t xml:space="preserve"/>
      </w:r>
    </w:p>
    <w:p>
      <w:r>
        <w:t xml:space="preserve"/>
      </w:r>
    </w:p>
    <w:p>
      <w:r>
        <w:t xml:space="preserve">Role</w:t>
      </w:r>
    </w:p>
    <w:p>
      <w:r>
        <w:t xml:space="preserve"/>
      </w:r>
    </w:p>
    <w:p>
      <w:r>
        <w:t xml:space="preserve"/>
      </w:r>
    </w:p>
    <w:p>
      <w:r>
        <w:t xml:space="preserve"/>
      </w:r>
    </w:p>
    <w:p>
      <w:r>
        <w:t xml:space="preserve">Primary responsibility</w:t>
      </w:r>
    </w:p>
    <w:p>
      <w:r>
        <w:t xml:space="preserve"/>
      </w:r>
    </w:p>
    <w:p>
      <w:r>
        <w:t xml:space="preserve"/>
      </w:r>
    </w:p>
    <w:p>
      <w:r>
        <w:t xml:space="preserve"/>
      </w:r>
    </w:p>
    <w:p>
      <w:r>
        <w:t xml:space="preserve">Escalates to</w:t>
      </w:r>
    </w:p>
    <w:p>
      <w:r>
        <w:t xml:space="preserve"/>
      </w:r>
    </w:p>
    <w:p>
      <w:r>
        <w:t xml:space="preserve"/>
      </w:r>
    </w:p>
    <w:p>
      <w:r>
        <w:t xml:space="preserve"/>
      </w:r>
    </w:p>
    <w:p>
      <w:r>
        <w:t xml:space="preserve">Board / Risk Committee</w:t>
      </w:r>
    </w:p>
    <w:p>
      <w:r>
        <w:t xml:space="preserve"/>
      </w:r>
    </w:p>
    <w:p>
      <w:r>
        <w:t xml:space="preserve"/>
      </w:r>
    </w:p>
    <w:p>
      <w:r>
        <w:t xml:space="preserve"/>
      </w:r>
    </w:p>
    <w:p>
      <w:r>
        <w:t xml:space="preserve">Oversight and risk appetite</w:t>
      </w:r>
    </w:p>
    <w:p>
      <w:r>
        <w:t xml:space="preserve"/>
      </w:r>
    </w:p>
    <w:p>
      <w:r>
        <w:t xml:space="preserve"/>
      </w:r>
    </w:p>
    <w:p>
      <w:r>
        <w:t xml:space="preserve"/>
      </w:r>
    </w:p>
    <w:p>
      <w:r>
        <w:t xml:space="preserve">Board</w:t>
      </w:r>
    </w:p>
    <w:p>
      <w:r>
        <w:t xml:space="preserve"/>
      </w:r>
    </w:p>
    <w:p>
      <w:r>
        <w:t xml:space="preserve"/>
      </w:r>
    </w:p>
    <w:p>
      <w:r>
        <w:t xml:space="preserve"/>
      </w:r>
    </w:p>
    <w:p>
      <w:r>
        <w:t xml:space="preserve">CISO</w:t>
      </w:r>
    </w:p>
    <w:p>
      <w:r>
        <w:t xml:space="preserve"/>
      </w:r>
    </w:p>
    <w:p>
      <w:r>
        <w:t xml:space="preserve"/>
      </w:r>
    </w:p>
    <w:p>
      <w:r>
        <w:t xml:space="preserve"/>
      </w:r>
    </w:p>
    <w:p>
      <w:r>
        <w:t xml:space="preserve">Cybersecurity controls, incident response, audits</w:t>
      </w:r>
    </w:p>
    <w:p>
      <w:r>
        <w:t xml:space="preserve"/>
      </w:r>
    </w:p>
    <w:p>
      <w:r>
        <w:t xml:space="preserve"/>
      </w:r>
    </w:p>
    <w:p>
      <w:r>
        <w:t xml:space="preserve"/>
      </w:r>
    </w:p>
    <w:p>
      <w:r>
        <w:t xml:space="preserve">CEO / Board</w:t>
      </w:r>
    </w:p>
    <w:p>
      <w:r>
        <w:t xml:space="preserve"/>
      </w:r>
    </w:p>
    <w:p>
      <w:r>
        <w:t xml:space="preserve"/>
      </w:r>
    </w:p>
    <w:p>
      <w:r>
        <w:t xml:space="preserve"/>
      </w:r>
    </w:p>
    <w:p>
      <w:r>
        <w:t xml:space="preserve">Legal</w:t>
      </w:r>
    </w:p>
    <w:p>
      <w:r>
        <w:t xml:space="preserve"/>
      </w:r>
    </w:p>
    <w:p>
      <w:r>
        <w:t xml:space="preserve"/>
      </w:r>
    </w:p>
    <w:p>
      <w:r>
        <w:t xml:space="preserve"/>
      </w:r>
    </w:p>
    <w:p>
      <w:r>
        <w:t xml:space="preserve">Statutory interpretation, notices, directions, privilege</w:t>
      </w:r>
    </w:p>
    <w:p>
      <w:r>
        <w:t xml:space="preserve"/>
      </w:r>
    </w:p>
    <w:p>
      <w:r>
        <w:t xml:space="preserve"/>
      </w:r>
    </w:p>
    <w:p>
      <w:r>
        <w:t xml:space="preserve"/>
      </w:r>
    </w:p>
    <w:p>
      <w:r>
        <w:t xml:space="preserve">General Counsel</w:t>
      </w:r>
    </w:p>
    <w:p>
      <w:r>
        <w:t xml:space="preserve"/>
      </w:r>
    </w:p>
    <w:p>
      <w:r>
        <w:t xml:space="preserve"/>
      </w:r>
    </w:p>
    <w:p>
      <w:r>
        <w:t xml:space="preserve"/>
      </w:r>
    </w:p>
    <w:p>
      <w:r>
        <w:t xml:space="preserve">Procurement</w:t>
      </w:r>
    </w:p>
    <w:p>
      <w:r>
        <w:t xml:space="preserve"/>
      </w:r>
    </w:p>
    <w:p>
      <w:r>
        <w:t xml:space="preserve"/>
      </w:r>
    </w:p>
    <w:p>
      <w:r>
        <w:t xml:space="preserve"/>
      </w:r>
    </w:p>
    <w:p>
      <w:r>
        <w:t xml:space="preserve">Vendor due diligence and contract controls</w:t>
      </w:r>
    </w:p>
    <w:p>
      <w:r>
        <w:t xml:space="preserve"/>
      </w:r>
    </w:p>
    <w:p>
      <w:r>
        <w:t xml:space="preserve"/>
      </w:r>
    </w:p>
    <w:p>
      <w:r>
        <w:t xml:space="preserve"/>
      </w:r>
    </w:p>
    <w:p>
      <w:r>
        <w:t xml:space="preserve">CISO / Legal</w:t>
      </w:r>
    </w:p>
    <w:p>
      <w:r>
        <w:t xml:space="preserve"/>
      </w:r>
    </w:p>
    <w:p>
      <w:r>
        <w:t xml:space="preserve"/>
      </w:r>
    </w:p>
    <w:p>
      <w:r>
        <w:t xml:space="preserve"/>
      </w:r>
    </w:p>
    <w:p>
      <w:r>
        <w:t xml:space="preserve">System Owner</w:t>
      </w:r>
    </w:p>
    <w:p>
      <w:r>
        <w:t xml:space="preserve"/>
      </w:r>
    </w:p>
    <w:p>
      <w:r>
        <w:t xml:space="preserve"/>
      </w:r>
    </w:p>
    <w:p>
      <w:r>
        <w:t xml:space="preserve"/>
      </w:r>
    </w:p>
    <w:p>
      <w:r>
        <w:t xml:space="preserve">Asset, change and operational accountability</w:t>
      </w:r>
    </w:p>
    <w:p>
      <w:r>
        <w:t xml:space="preserve"/>
      </w:r>
    </w:p>
    <w:p>
      <w:r>
        <w:t xml:space="preserve"/>
      </w:r>
    </w:p>
    <w:p>
      <w:r>
        <w:t xml:space="preserve"/>
      </w:r>
    </w:p>
    <w:p>
      <w:r>
        <w:t xml:space="preserve">CISO</w:t>
      </w:r>
    </w:p>
    <w:p>
      <w:r>
        <w:t xml:space="preserve"/>
      </w:r>
    </w:p>
    <w:p>
      <w:r>
        <w:t xml:space="preserve"/>
      </w:r>
    </w:p>
    <w:p>
      <w:r>
        <w:t xml:space="preserve"/>
      </w:r>
    </w:p>
    <w:p>
      <w:r>
        <w:t xml:space="preserve">12. Civil Penalty Exposure</w:t>
      </w:r>
    </w:p>
    <w:p>
      <w:r>
        <w:t xml:space="preserve"/>
      </w:r>
    </w:p>
    <w:p>
      <w:r>
        <w:t xml:space="preserve"/>
      </w:r>
    </w:p>
    <w:p>
      <w:r>
        <w:t xml:space="preserve"/>
      </w:r>
    </w:p>
    <w:p>
      <w:r>
        <w:t xml:space="preserve">The Commissioner may bring a civil penalty action in lieu of prosecution for contraventions under Parts 3, 3A, 3B, 3C or 3D, with penalties of up to the greater of $500,000 or 10% of the organisation’s annual Singapore turnover for the higher tier of provisions (section 37A). Legal must treat a missed notification deadline — including the 30-day windows in sections 16E(8), 16J(5) and 16K — as carrying this civil exposure in addition to, or instead of, the criminal fines previously understood to apply.</w:t>
      </w:r>
    </w:p>
    <w:p>
      <w:r>
        <w:t xml:space="preserve"/>
      </w:r>
    </w:p>
    <w:p>
      <w:r>
        <w:t xml:space="preserve"/>
      </w:r>
    </w:p>
    <w:p>
      <w:r>
        <w:t xml:space="preserve"/>
      </w:r>
    </w:p>
    <w:p>
      <w:r>
        <w:t xml:space="preserve">Appendix A - Immediate Incident Checklist</w:t>
      </w:r>
    </w:p>
    <w:p>
      <w:r>
        <w:t xml:space="preserve"/>
      </w:r>
    </w:p>
    <w:p>
      <w:r>
        <w:t xml:space="preserve"/>
      </w:r>
    </w:p>
    <w:p>
      <w:r>
        <w:t xml:space="preserve"/>
      </w:r>
    </w:p>
    <w:p>
      <w:r>
        <w:t xml:space="preserve">Open incident record and preserve timestamps.</w:t>
      </w:r>
    </w:p>
    <w:p>
      <w:r>
        <w:t xml:space="preserve"/>
      </w:r>
    </w:p>
    <w:p>
      <w:r>
        <w:t xml:space="preserve"/>
      </w:r>
    </w:p>
    <w:p>
      <w:r>
        <w:t xml:space="preserve"/>
      </w:r>
    </w:p>
    <w:p>
      <w:r>
        <w:t xml:space="preserve">Identify affected CII and connected systems, and confirm whether each is provider-owned or third-party-owned.</w:t>
      </w:r>
    </w:p>
    <w:p>
      <w:r>
        <w:t xml:space="preserve"/>
      </w:r>
    </w:p>
    <w:p>
      <w:r>
        <w:t xml:space="preserve"/>
      </w:r>
    </w:p>
    <w:p>
      <w:r>
        <w:t xml:space="preserve"/>
      </w:r>
    </w:p>
    <w:p>
      <w:r>
        <w:t xml:space="preserve">Preserve logs, images and relevant records.</w:t>
      </w:r>
    </w:p>
    <w:p>
      <w:r>
        <w:t xml:space="preserve"/>
      </w:r>
    </w:p>
    <w:p>
      <w:r>
        <w:t xml:space="preserve"/>
      </w:r>
    </w:p>
    <w:p>
      <w:r>
        <w:t xml:space="preserve"/>
      </w:r>
    </w:p>
    <w:p>
      <w:r>
        <w:t xml:space="preserve">Notify CISO, Legal and system owner.</w:t>
      </w:r>
    </w:p>
    <w:p>
      <w:r>
        <w:t xml:space="preserve"/>
      </w:r>
    </w:p>
    <w:p>
      <w:r>
        <w:t xml:space="preserve"/>
      </w:r>
    </w:p>
    <w:p>
      <w:r>
        <w:t xml:space="preserve"/>
      </w:r>
    </w:p>
    <w:p>
      <w:r>
        <w:t xml:space="preserve">Assess statutory reporting trigger and applicable prescribed period — 30 days for third-party-owned CII material changes and audit/risk-assessment reports; check current subsidiary legislation for provider-owned CII.</w:t>
      </w:r>
    </w:p>
    <w:p>
      <w:r>
        <w:t xml:space="preserve"/>
      </w:r>
    </w:p>
    <w:p>
      <w:r>
        <w:t xml:space="preserve"/>
      </w:r>
    </w:p>
    <w:p>
      <w:r>
        <w:t xml:space="preserve"/>
      </w:r>
    </w:p>
    <w:p>
      <w:r>
        <w:t xml:space="preserve">Prepare regulator-facing factual summary.</w:t>
      </w:r>
    </w:p>
    <w:p>
      <w:r>
        <w:t xml:space="preserve"/>
      </w:r>
    </w:p>
    <w:p>
      <w:r>
        <w:t xml:space="preserve"/>
      </w:r>
    </w:p>
    <w:p>
      <w:r>
        <w:t xml:space="preserve"/>
      </w:r>
    </w:p>
    <w:p>
      <w:r>
        <w:t xml:space="preserve">Track containment, remediation and follow-up evidence.</w:t>
      </w:r>
    </w:p>
    <w:p>
      <w:r>
        <w:t xml:space="preserve"/>
      </w:r>
    </w:p>
    <w:p>
      <w:r>
        <w:t xml:space="preserve"/>
      </w:r>
    </w:p>
    <w:p>
      <w:r>
        <w:t xml:space="preserve"/>
      </w:r>
    </w:p>
    <w:p>
      <w:r>
        <w:t xml:space="preserve">Source Basis</w:t>
      </w:r>
    </w:p>
    <w:p>
      <w:r>
        <w:t xml:space="preserve"/>
      </w:r>
    </w:p>
    <w:p>
      <w:r>
        <w:t xml:space="preserve"/>
      </w:r>
    </w:p>
    <w:p>
      <w:r>
        <w:t xml:space="preserve"/>
      </w:r>
    </w:p>
    <w:p>
      <w:r>
        <w:t xml:space="preserve">This precedent is drafted against the Cybersecurity Act 2018. Key statutory anchors used are: s 10 (information and material changes — provider-owned CII); ss 16A–16L (Part 3A — designated providers responsible for third-party-owned critical information infrastructure); s 35A (codes of practice and standards of performance, replacing former s 11); s 12 (written directions); s 14 (incident reporting/detection); s 15 (audit and risk assessment); ss 19–20 (investigation and remedial powers); ss 37A–37D (civil penalties); Part 5 and Second Schedule (licensing). Where the Act refers to prescribed forms, periods, applicable codes of practice, standards of performance or written directions, this precedent requires verification rather than inventing those details.</w:t>
      </w:r>
    </w:p>
    <w:p>
      <w:r>
        <w:t xml:space="preserve"/>
      </w:r>
    </w:p>
    <w:p>
      <w:r>
        <w:t xml:space="preserve"/>
      </w:r>
    </w:p>
    <w:p>
      <w:r>
        <w:t xml:space="preserve"/>
      </w:r>
    </w:p>
    <w:p>
      <w:r>
        <w:t xml:space="preserve"/>
      </w:r>
    </w:p>
    <w:p>
      <w:r>
        <w:t xml:space="preserve"/>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LionCity Essential Services Pte. Ltd.</dc:creator>
  <cp:lastModifiedBy>Un-named</cp:lastModifiedBy>
  <cp:revision>1</cp:revision>
  <dcterms:created xsi:type="dcterms:W3CDTF">2026-09-06T03:25:32.499Z</dcterms:created>
  <dcterms:modified xsi:type="dcterms:W3CDTF">2026-09-06T03:25:32.500Z</dcterms:modified>
</cp:coreProperties>
</file>

<file path=docProps/custom.xml><?xml version="1.0" encoding="utf-8"?>
<Properties xmlns="http://schemas.openxmlformats.org/officeDocument/2006/custom-properties" xmlns:vt="http://schemas.openxmlformats.org/officeDocument/2006/docPropsVTypes"/>
</file>