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Critical Systems Cloud Agreement</w:t>
      </w:r>
    </w:p>
    <w:p>
      <w:pPr>
        <w:jc w:val="center"/>
      </w:pPr>
      <w:r>
        <w:rPr>
          <w:i/>
        </w:rPr>
        <w:t>Illustrative pre-amendment version</w:t>
      </w:r>
    </w:p>
    <w:p>
      <w:pPr>
        <w:pStyle w:val="Heading1"/>
      </w:pPr>
      <w:r>
        <w:t>Parties and Background</w:t>
      </w:r>
    </w:p>
    <w:p>
      <w:r>
        <w:t>This Agreement is entered into between the Customer and Provider identified in Schedule A. It concerns cii owner migrating critical application to cloud.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Cooperation</w:t>
        <w:br/>
        <w:t>The parties shall cooperate in relation to applicable cybersecurity and regulatory requirements. The Customer remains responsible for determining its own statutory and regulatory obligations.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CII owner migrating critical application to cloud</w:t>
        <w:br/>
        <w:t>Service context: CII owner migrating critical application to cloud</w:t>
        <w:br/>
        <w:t>Regulatory context: Critical application; migration and security responsibilities</w:t>
        <w:br/>
        <w:t>Amendment status: Pre-amendment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