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768C" w14:textId="77777777" w:rsidR="00F5234F" w:rsidRPr="00F5234F" w:rsidRDefault="00F5234F" w:rsidP="00F5234F">
      <w:pPr>
        <w:spacing w:after="0" w:line="240" w:lineRule="auto"/>
        <w:outlineLvl w:val="1"/>
        <w:rPr>
          <w:rFonts w:ascii="Arial" w:eastAsia="Times New Roman" w:hAnsi="Arial" w:cs="Arial"/>
          <w:b/>
          <w:bCs/>
          <w:color w:val="1F1F1F"/>
          <w:kern w:val="0"/>
          <w:sz w:val="36"/>
          <w:szCs w:val="36"/>
          <w:lang w:val="en-SG"/>
          <w14:ligatures w14:val="none"/>
        </w:rPr>
      </w:pPr>
      <w:proofErr w:type="spellStart"/>
      <w:r w:rsidRPr="00F5234F">
        <w:rPr>
          <w:rFonts w:ascii="Arial" w:eastAsia="Times New Roman" w:hAnsi="Arial" w:cs="Arial"/>
          <w:b/>
          <w:bCs/>
          <w:color w:val="1F1F1F"/>
          <w:kern w:val="0"/>
          <w:sz w:val="36"/>
          <w:szCs w:val="36"/>
          <w:lang w:val="en-SG"/>
          <w14:ligatures w14:val="none"/>
        </w:rPr>
        <w:t>AlphaCloud</w:t>
      </w:r>
      <w:proofErr w:type="spellEnd"/>
      <w:r w:rsidRPr="00F5234F">
        <w:rPr>
          <w:rFonts w:ascii="Arial" w:eastAsia="Times New Roman" w:hAnsi="Arial" w:cs="Arial"/>
          <w:b/>
          <w:bCs/>
          <w:color w:val="1F1F1F"/>
          <w:kern w:val="0"/>
          <w:sz w:val="36"/>
          <w:szCs w:val="36"/>
          <w:lang w:val="en-SG"/>
          <w14:ligatures w14:val="none"/>
        </w:rPr>
        <w:t xml:space="preserve"> Solutions: Vendor Incident Response Playbook</w:t>
      </w:r>
    </w:p>
    <w:p w14:paraId="5172C61B" w14:textId="77777777" w:rsidR="00F5234F" w:rsidRPr="00F5234F" w:rsidRDefault="00F5234F" w:rsidP="00F5234F">
      <w:p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Document ID:</w:t>
      </w:r>
      <w:r w:rsidRPr="00F5234F">
        <w:rPr>
          <w:rFonts w:ascii="Arial" w:eastAsia="Times New Roman" w:hAnsi="Arial" w:cs="Arial"/>
          <w:color w:val="1F1F1F"/>
          <w:kern w:val="0"/>
          <w:lang w:val="en-SG"/>
          <w14:ligatures w14:val="none"/>
        </w:rPr>
        <w:t xml:space="preserve"> IR-PB-2025-V1.4</w:t>
      </w:r>
    </w:p>
    <w:p w14:paraId="3B26CD34" w14:textId="77777777" w:rsidR="00F5234F" w:rsidRPr="00F5234F" w:rsidRDefault="00F5234F" w:rsidP="00F5234F">
      <w:p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Scope:</w:t>
      </w:r>
      <w:r w:rsidRPr="00F5234F">
        <w:rPr>
          <w:rFonts w:ascii="Arial" w:eastAsia="Times New Roman" w:hAnsi="Arial" w:cs="Arial"/>
          <w:color w:val="1F1F1F"/>
          <w:kern w:val="0"/>
          <w:lang w:val="en-SG"/>
          <w14:ligatures w14:val="none"/>
        </w:rPr>
        <w:t xml:space="preserve"> Cloud Infrastructure &amp; Managed Hosting Services</w:t>
      </w:r>
    </w:p>
    <w:p w14:paraId="5A9B2419" w14:textId="77777777" w:rsidR="00F5234F" w:rsidRPr="00F5234F" w:rsidRDefault="00F5234F" w:rsidP="00F5234F">
      <w:p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Target Audience:</w:t>
      </w:r>
      <w:r w:rsidRPr="00F5234F">
        <w:rPr>
          <w:rFonts w:ascii="Arial" w:eastAsia="Times New Roman" w:hAnsi="Arial" w:cs="Arial"/>
          <w:color w:val="1F1F1F"/>
          <w:kern w:val="0"/>
          <w:lang w:val="en-SG"/>
          <w14:ligatures w14:val="none"/>
        </w:rPr>
        <w:t xml:space="preserve"> Security Operations </w:t>
      </w:r>
      <w:proofErr w:type="spellStart"/>
      <w:r w:rsidRPr="00F5234F">
        <w:rPr>
          <w:rFonts w:ascii="Arial" w:eastAsia="Times New Roman" w:hAnsi="Arial" w:cs="Arial"/>
          <w:color w:val="1F1F1F"/>
          <w:kern w:val="0"/>
          <w:lang w:val="en-SG"/>
          <w14:ligatures w14:val="none"/>
        </w:rPr>
        <w:t>Center</w:t>
      </w:r>
      <w:proofErr w:type="spellEnd"/>
      <w:r w:rsidRPr="00F5234F">
        <w:rPr>
          <w:rFonts w:ascii="Arial" w:eastAsia="Times New Roman" w:hAnsi="Arial" w:cs="Arial"/>
          <w:color w:val="1F1F1F"/>
          <w:kern w:val="0"/>
          <w:lang w:val="en-SG"/>
          <w14:ligatures w14:val="none"/>
        </w:rPr>
        <w:t xml:space="preserve"> (SOC), Incident Response Team (IRT), Legal &amp; Compliance</w:t>
      </w:r>
    </w:p>
    <w:p w14:paraId="0CC4B59E" w14:textId="77777777" w:rsidR="00F5234F" w:rsidRPr="00F5234F" w:rsidRDefault="00F5234F" w:rsidP="00F5234F">
      <w:p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color w:val="1F1F1F"/>
          <w:kern w:val="0"/>
          <w:lang w:val="en-SG"/>
          <w14:ligatures w14:val="none"/>
        </w:rPr>
        <w:br/>
      </w:r>
    </w:p>
    <w:p w14:paraId="71781C67" w14:textId="77777777" w:rsidR="00F5234F" w:rsidRPr="00F5234F" w:rsidRDefault="00F5234F" w:rsidP="00F5234F">
      <w:pPr>
        <w:spacing w:after="0" w:line="240" w:lineRule="auto"/>
        <w:outlineLvl w:val="2"/>
        <w:rPr>
          <w:rFonts w:ascii="Arial" w:eastAsia="Times New Roman" w:hAnsi="Arial" w:cs="Arial"/>
          <w:b/>
          <w:bCs/>
          <w:color w:val="1F1F1F"/>
          <w:kern w:val="0"/>
          <w:sz w:val="27"/>
          <w:szCs w:val="27"/>
          <w:lang w:val="en-SG"/>
          <w14:ligatures w14:val="none"/>
        </w:rPr>
      </w:pPr>
      <w:r w:rsidRPr="00F5234F">
        <w:rPr>
          <w:rFonts w:ascii="Arial" w:eastAsia="Times New Roman" w:hAnsi="Arial" w:cs="Arial"/>
          <w:b/>
          <w:bCs/>
          <w:color w:val="1F1F1F"/>
          <w:kern w:val="0"/>
          <w:sz w:val="27"/>
          <w:szCs w:val="27"/>
          <w:lang w:val="en-SG"/>
          <w14:ligatures w14:val="none"/>
        </w:rPr>
        <w:t>Phase 1: Preparation and Identification</w:t>
      </w:r>
    </w:p>
    <w:p w14:paraId="27E6897D" w14:textId="77777777" w:rsidR="00F5234F" w:rsidRPr="00F5234F" w:rsidRDefault="00F5234F" w:rsidP="00F5234F">
      <w:pPr>
        <w:numPr>
          <w:ilvl w:val="0"/>
          <w:numId w:val="1"/>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1: Threat Detection:</w:t>
      </w:r>
      <w:r w:rsidRPr="00F5234F">
        <w:rPr>
          <w:rFonts w:ascii="Arial" w:eastAsia="Times New Roman" w:hAnsi="Arial" w:cs="Arial"/>
          <w:color w:val="1F1F1F"/>
          <w:kern w:val="0"/>
          <w:lang w:val="en-SG"/>
          <w14:ligatures w14:val="none"/>
        </w:rPr>
        <w:t xml:space="preserve"> SOC analysts must monitor SIEM alerts, IDS/IPS logs, and cloud infrastructure telemetry for anomalous traffic patterns, unauthorized access attempts, or ransomware signatures.</w:t>
      </w:r>
    </w:p>
    <w:p w14:paraId="523553CE"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62DCE60B" w14:textId="77777777" w:rsidR="00F5234F" w:rsidRPr="00F5234F" w:rsidRDefault="00F5234F" w:rsidP="00F5234F">
      <w:pPr>
        <w:numPr>
          <w:ilvl w:val="0"/>
          <w:numId w:val="1"/>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2: Ticket Creation:</w:t>
      </w:r>
      <w:r w:rsidRPr="00F5234F">
        <w:rPr>
          <w:rFonts w:ascii="Arial" w:eastAsia="Times New Roman" w:hAnsi="Arial" w:cs="Arial"/>
          <w:color w:val="1F1F1F"/>
          <w:kern w:val="0"/>
          <w:lang w:val="en-SG"/>
          <w14:ligatures w14:val="none"/>
        </w:rPr>
        <w:t xml:space="preserve"> Upon validating an anomaly, Tier 1 SOC analysts log a High-Priority (P1) ticket in Jira Service Management, documenting the affected server instances, tenant IDs, and the suspected initial attack vector.</w:t>
      </w:r>
    </w:p>
    <w:p w14:paraId="4F721687"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66D70D69" w14:textId="77777777" w:rsidR="00F5234F" w:rsidRPr="00F5234F" w:rsidRDefault="00F5234F" w:rsidP="00F5234F">
      <w:pPr>
        <w:numPr>
          <w:ilvl w:val="0"/>
          <w:numId w:val="1"/>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3: IRT Activation:</w:t>
      </w:r>
      <w:r w:rsidRPr="00F5234F">
        <w:rPr>
          <w:rFonts w:ascii="Arial" w:eastAsia="Times New Roman" w:hAnsi="Arial" w:cs="Arial"/>
          <w:color w:val="1F1F1F"/>
          <w:kern w:val="0"/>
          <w:lang w:val="en-SG"/>
          <w14:ligatures w14:val="none"/>
        </w:rPr>
        <w:t xml:space="preserve"> If the anomaly indicates potential data exfiltration, system compromise, or service degradation, the ticket is immediately escalated to the Incident Response Team (IRT) Commander.</w:t>
      </w:r>
    </w:p>
    <w:p w14:paraId="632A6336"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6C2D084C" w14:textId="77777777" w:rsidR="00F5234F" w:rsidRPr="00F5234F" w:rsidRDefault="00F5234F" w:rsidP="00F5234F">
      <w:pPr>
        <w:spacing w:after="0" w:line="240" w:lineRule="auto"/>
        <w:outlineLvl w:val="2"/>
        <w:rPr>
          <w:rFonts w:ascii="Arial" w:eastAsia="Times New Roman" w:hAnsi="Arial" w:cs="Arial"/>
          <w:b/>
          <w:bCs/>
          <w:color w:val="1F1F1F"/>
          <w:kern w:val="0"/>
          <w:sz w:val="27"/>
          <w:szCs w:val="27"/>
          <w:lang w:val="en-SG"/>
          <w14:ligatures w14:val="none"/>
        </w:rPr>
      </w:pPr>
      <w:r w:rsidRPr="00F5234F">
        <w:rPr>
          <w:rFonts w:ascii="Arial" w:eastAsia="Times New Roman" w:hAnsi="Arial" w:cs="Arial"/>
          <w:b/>
          <w:bCs/>
          <w:color w:val="1F1F1F"/>
          <w:kern w:val="0"/>
          <w:sz w:val="27"/>
          <w:szCs w:val="27"/>
          <w:lang w:val="en-SG"/>
          <w14:ligatures w14:val="none"/>
        </w:rPr>
        <w:t>Phase 2: Assessment and Notification</w:t>
      </w:r>
    </w:p>
    <w:p w14:paraId="16A44B37" w14:textId="77777777" w:rsidR="00F5234F" w:rsidRPr="00F5234F" w:rsidRDefault="00F5234F" w:rsidP="00F5234F">
      <w:pPr>
        <w:numPr>
          <w:ilvl w:val="0"/>
          <w:numId w:val="2"/>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1: Containment Feasibility:</w:t>
      </w:r>
      <w:r w:rsidRPr="00F5234F">
        <w:rPr>
          <w:rFonts w:ascii="Arial" w:eastAsia="Times New Roman" w:hAnsi="Arial" w:cs="Arial"/>
          <w:color w:val="1F1F1F"/>
          <w:kern w:val="0"/>
          <w:lang w:val="en-SG"/>
          <w14:ligatures w14:val="none"/>
        </w:rPr>
        <w:t xml:space="preserve"> The IRT Commander determines whether affected virtual machines (VMs) or storage buckets can be isolated from the production network without causing cascading downtime for the client.</w:t>
      </w:r>
    </w:p>
    <w:p w14:paraId="37E63D58"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16CC33EF" w14:textId="77777777" w:rsidR="00F5234F" w:rsidRPr="00F5234F" w:rsidRDefault="00F5234F" w:rsidP="00F5234F">
      <w:pPr>
        <w:numPr>
          <w:ilvl w:val="0"/>
          <w:numId w:val="2"/>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2: Scope Definition:</w:t>
      </w:r>
      <w:r w:rsidRPr="00F5234F">
        <w:rPr>
          <w:rFonts w:ascii="Arial" w:eastAsia="Times New Roman" w:hAnsi="Arial" w:cs="Arial"/>
          <w:color w:val="1F1F1F"/>
          <w:kern w:val="0"/>
          <w:lang w:val="en-SG"/>
          <w14:ligatures w14:val="none"/>
        </w:rPr>
        <w:t xml:space="preserve"> Forensics must identify the specific data sets exposed, focusing on PII (Personally Identifiable Information) to determine applicability under the Personal Data Protection Act (PDPA).</w:t>
      </w:r>
    </w:p>
    <w:p w14:paraId="32F11EEF"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673C78C2" w14:textId="77777777" w:rsidR="00F5234F" w:rsidRPr="00F5234F" w:rsidRDefault="00F5234F" w:rsidP="00F5234F">
      <w:pPr>
        <w:numPr>
          <w:ilvl w:val="0"/>
          <w:numId w:val="2"/>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3: Client Notification Assessment:</w:t>
      </w:r>
      <w:r w:rsidRPr="00F5234F">
        <w:rPr>
          <w:rFonts w:ascii="Arial" w:eastAsia="Times New Roman" w:hAnsi="Arial" w:cs="Arial"/>
          <w:color w:val="1F1F1F"/>
          <w:kern w:val="0"/>
          <w:lang w:val="en-SG"/>
          <w14:ligatures w14:val="none"/>
        </w:rPr>
        <w:t xml:space="preserve"> Upon discovering a suspected server breach, the internal forensics team has 24 hours to assess the severity of the incident before notifying the impacted enterprise client. If the breach is deemed material after this 24-hour assessment, Legal &amp; Compliance will draft an email to the client's designated Data Protection Officer.</w:t>
      </w:r>
    </w:p>
    <w:p w14:paraId="15F1A4B0"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7247B13A" w14:textId="77777777" w:rsidR="00F5234F" w:rsidRPr="00F5234F" w:rsidRDefault="00F5234F" w:rsidP="00F5234F">
      <w:pPr>
        <w:numPr>
          <w:ilvl w:val="0"/>
          <w:numId w:val="2"/>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4: Regulatory Alerting:</w:t>
      </w:r>
      <w:r w:rsidRPr="00F5234F">
        <w:rPr>
          <w:rFonts w:ascii="Arial" w:eastAsia="Times New Roman" w:hAnsi="Arial" w:cs="Arial"/>
          <w:color w:val="1F1F1F"/>
          <w:kern w:val="0"/>
          <w:lang w:val="en-SG"/>
          <w14:ligatures w14:val="none"/>
        </w:rPr>
        <w:t xml:space="preserve"> Once the client is formally notified, </w:t>
      </w:r>
      <w:proofErr w:type="spellStart"/>
      <w:r w:rsidRPr="00F5234F">
        <w:rPr>
          <w:rFonts w:ascii="Arial" w:eastAsia="Times New Roman" w:hAnsi="Arial" w:cs="Arial"/>
          <w:color w:val="1F1F1F"/>
          <w:kern w:val="0"/>
          <w:lang w:val="en-SG"/>
          <w14:ligatures w14:val="none"/>
        </w:rPr>
        <w:t>AlphaCloud</w:t>
      </w:r>
      <w:proofErr w:type="spellEnd"/>
      <w:r w:rsidRPr="00F5234F">
        <w:rPr>
          <w:rFonts w:ascii="Arial" w:eastAsia="Times New Roman" w:hAnsi="Arial" w:cs="Arial"/>
          <w:color w:val="1F1F1F"/>
          <w:kern w:val="0"/>
          <w:lang w:val="en-SG"/>
          <w14:ligatures w14:val="none"/>
        </w:rPr>
        <w:t xml:space="preserve"> will coordinate with the client's legal team to meet the standard 72-hour PDPA notification window to the Personal Data Protection Commission (PDPC), if required.</w:t>
      </w:r>
    </w:p>
    <w:p w14:paraId="4366EE3D"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5ECE70DA" w14:textId="77777777" w:rsidR="00F5234F" w:rsidRPr="00F5234F" w:rsidRDefault="00F5234F" w:rsidP="00F5234F">
      <w:pPr>
        <w:spacing w:after="0" w:line="240" w:lineRule="auto"/>
        <w:outlineLvl w:val="2"/>
        <w:rPr>
          <w:rFonts w:ascii="Arial" w:eastAsia="Times New Roman" w:hAnsi="Arial" w:cs="Arial"/>
          <w:b/>
          <w:bCs/>
          <w:color w:val="1F1F1F"/>
          <w:kern w:val="0"/>
          <w:sz w:val="27"/>
          <w:szCs w:val="27"/>
          <w:lang w:val="en-SG"/>
          <w14:ligatures w14:val="none"/>
        </w:rPr>
      </w:pPr>
      <w:r w:rsidRPr="00F5234F">
        <w:rPr>
          <w:rFonts w:ascii="Arial" w:eastAsia="Times New Roman" w:hAnsi="Arial" w:cs="Arial"/>
          <w:b/>
          <w:bCs/>
          <w:color w:val="1F1F1F"/>
          <w:kern w:val="0"/>
          <w:sz w:val="27"/>
          <w:szCs w:val="27"/>
          <w:lang w:val="en-SG"/>
          <w14:ligatures w14:val="none"/>
        </w:rPr>
        <w:t>Phase 3: Containment and Eradication</w:t>
      </w:r>
    </w:p>
    <w:p w14:paraId="30CC3B1B" w14:textId="77777777" w:rsidR="00F5234F" w:rsidRPr="00F5234F" w:rsidRDefault="00F5234F" w:rsidP="00F5234F">
      <w:pPr>
        <w:numPr>
          <w:ilvl w:val="0"/>
          <w:numId w:val="3"/>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1: Network Isolation:</w:t>
      </w:r>
      <w:r w:rsidRPr="00F5234F">
        <w:rPr>
          <w:rFonts w:ascii="Arial" w:eastAsia="Times New Roman" w:hAnsi="Arial" w:cs="Arial"/>
          <w:color w:val="1F1F1F"/>
          <w:kern w:val="0"/>
          <w:lang w:val="en-SG"/>
          <w14:ligatures w14:val="none"/>
        </w:rPr>
        <w:t xml:space="preserve"> Disconnect the compromised tenant architecture from the public internet. Ensure the management plane remains securely accessible via out-of-band connections.</w:t>
      </w:r>
    </w:p>
    <w:p w14:paraId="26044178"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0C505716" w14:textId="77777777" w:rsidR="00F5234F" w:rsidRPr="00F5234F" w:rsidRDefault="00F5234F" w:rsidP="00F5234F">
      <w:pPr>
        <w:numPr>
          <w:ilvl w:val="0"/>
          <w:numId w:val="3"/>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2: Credential Revocation:</w:t>
      </w:r>
      <w:r w:rsidRPr="00F5234F">
        <w:rPr>
          <w:rFonts w:ascii="Arial" w:eastAsia="Times New Roman" w:hAnsi="Arial" w:cs="Arial"/>
          <w:color w:val="1F1F1F"/>
          <w:kern w:val="0"/>
          <w:lang w:val="en-SG"/>
          <w14:ligatures w14:val="none"/>
        </w:rPr>
        <w:t xml:space="preserve"> Force a global password reset for all IAM roles associated with the affected tenant. Invalidate all active API keys and session tokens.</w:t>
      </w:r>
    </w:p>
    <w:p w14:paraId="0129AD34"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36E65EEF" w14:textId="77777777" w:rsidR="00F5234F" w:rsidRPr="00F5234F" w:rsidRDefault="00F5234F" w:rsidP="00F5234F">
      <w:pPr>
        <w:numPr>
          <w:ilvl w:val="0"/>
          <w:numId w:val="3"/>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3: Threat Purge:</w:t>
      </w:r>
      <w:r w:rsidRPr="00F5234F">
        <w:rPr>
          <w:rFonts w:ascii="Arial" w:eastAsia="Times New Roman" w:hAnsi="Arial" w:cs="Arial"/>
          <w:color w:val="1F1F1F"/>
          <w:kern w:val="0"/>
          <w:lang w:val="en-SG"/>
          <w14:ligatures w14:val="none"/>
        </w:rPr>
        <w:t xml:space="preserve"> Remove malware, ransomware binaries, or unauthorized scheduled tasks from the affected servers. Patch the exploited vulnerability before bringing systems back online.</w:t>
      </w:r>
    </w:p>
    <w:p w14:paraId="3ED4D5C3"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06195E1A" w14:textId="77777777" w:rsidR="00F5234F" w:rsidRPr="00F5234F" w:rsidRDefault="00F5234F" w:rsidP="00F5234F">
      <w:pPr>
        <w:spacing w:after="0" w:line="240" w:lineRule="auto"/>
        <w:outlineLvl w:val="2"/>
        <w:rPr>
          <w:rFonts w:ascii="Arial" w:eastAsia="Times New Roman" w:hAnsi="Arial" w:cs="Arial"/>
          <w:b/>
          <w:bCs/>
          <w:color w:val="1F1F1F"/>
          <w:kern w:val="0"/>
          <w:sz w:val="27"/>
          <w:szCs w:val="27"/>
          <w:lang w:val="en-SG"/>
          <w14:ligatures w14:val="none"/>
        </w:rPr>
      </w:pPr>
      <w:r w:rsidRPr="00F5234F">
        <w:rPr>
          <w:rFonts w:ascii="Arial" w:eastAsia="Times New Roman" w:hAnsi="Arial" w:cs="Arial"/>
          <w:b/>
          <w:bCs/>
          <w:color w:val="1F1F1F"/>
          <w:kern w:val="0"/>
          <w:sz w:val="27"/>
          <w:szCs w:val="27"/>
          <w:lang w:val="en-SG"/>
          <w14:ligatures w14:val="none"/>
        </w:rPr>
        <w:t>Phase 4: Recovery and Post-Incident Analysis</w:t>
      </w:r>
    </w:p>
    <w:p w14:paraId="163BD122" w14:textId="77777777" w:rsidR="00F5234F" w:rsidRPr="00F5234F" w:rsidRDefault="00F5234F" w:rsidP="00F5234F">
      <w:pPr>
        <w:numPr>
          <w:ilvl w:val="0"/>
          <w:numId w:val="4"/>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1: Service Restoration:</w:t>
      </w:r>
      <w:r w:rsidRPr="00F5234F">
        <w:rPr>
          <w:rFonts w:ascii="Arial" w:eastAsia="Times New Roman" w:hAnsi="Arial" w:cs="Arial"/>
          <w:color w:val="1F1F1F"/>
          <w:kern w:val="0"/>
          <w:lang w:val="en-SG"/>
          <w14:ligatures w14:val="none"/>
        </w:rPr>
        <w:t xml:space="preserve"> Restore systems from the most recent uncorrupted backups. Verify data integrity before redirecting client traffic back to the primary environment.</w:t>
      </w:r>
    </w:p>
    <w:p w14:paraId="0FD2B5FC"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219C339B" w14:textId="77777777" w:rsidR="00F5234F" w:rsidRPr="00F5234F" w:rsidRDefault="00F5234F" w:rsidP="00F5234F">
      <w:pPr>
        <w:numPr>
          <w:ilvl w:val="0"/>
          <w:numId w:val="4"/>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2: Hyper-Vigilance Monitoring:</w:t>
      </w:r>
      <w:r w:rsidRPr="00F5234F">
        <w:rPr>
          <w:rFonts w:ascii="Arial" w:eastAsia="Times New Roman" w:hAnsi="Arial" w:cs="Arial"/>
          <w:color w:val="1F1F1F"/>
          <w:kern w:val="0"/>
          <w:lang w:val="en-SG"/>
          <w14:ligatures w14:val="none"/>
        </w:rPr>
        <w:t xml:space="preserve"> Implement Level 3 Alerting rules on the restored servers for a mandatory 14-day period to prevent secondary infections or lateral movement.</w:t>
      </w:r>
    </w:p>
    <w:p w14:paraId="0074777C"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0F18900A" w14:textId="77777777" w:rsidR="00F5234F" w:rsidRPr="00F5234F" w:rsidRDefault="00F5234F" w:rsidP="00F5234F">
      <w:pPr>
        <w:numPr>
          <w:ilvl w:val="0"/>
          <w:numId w:val="4"/>
        </w:num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1F1F1F"/>
          <w:kern w:val="0"/>
          <w:bdr w:val="none" w:sz="0" w:space="0" w:color="auto" w:frame="1"/>
          <w:lang w:val="en-SG"/>
          <w14:ligatures w14:val="none"/>
        </w:rPr>
        <w:t>Step 3: Post-Mortem Report:</w:t>
      </w:r>
      <w:r w:rsidRPr="00F5234F">
        <w:rPr>
          <w:rFonts w:ascii="Arial" w:eastAsia="Times New Roman" w:hAnsi="Arial" w:cs="Arial"/>
          <w:color w:val="1F1F1F"/>
          <w:kern w:val="0"/>
          <w:lang w:val="en-SG"/>
          <w14:ligatures w14:val="none"/>
        </w:rPr>
        <w:t xml:space="preserve"> Within 7 days of incident closure, the IRT Commander must produce a Root Cause Analysis (RCA) document. This RCA must be shared with the impacted client and internal executive leadership.</w:t>
      </w:r>
    </w:p>
    <w:p w14:paraId="3C5A87C1" w14:textId="77777777" w:rsidR="00F5234F" w:rsidRPr="00F5234F" w:rsidRDefault="00F5234F" w:rsidP="00F5234F">
      <w:pPr>
        <w:spacing w:after="0" w:line="240" w:lineRule="auto"/>
        <w:ind w:left="720"/>
        <w:rPr>
          <w:rFonts w:ascii="Arial" w:eastAsia="Times New Roman" w:hAnsi="Arial" w:cs="Arial"/>
          <w:color w:val="1F1F1F"/>
          <w:kern w:val="0"/>
          <w:lang w:val="en-SG"/>
          <w14:ligatures w14:val="none"/>
        </w:rPr>
      </w:pPr>
    </w:p>
    <w:p w14:paraId="2849A5EB" w14:textId="77777777" w:rsidR="00F5234F" w:rsidRDefault="00F5234F">
      <w:pPr>
        <w:rPr>
          <w:rFonts w:ascii="Arial" w:eastAsia="Times New Roman" w:hAnsi="Arial" w:cs="Arial"/>
          <w:b/>
          <w:bCs/>
          <w:color w:val="1F1F1F"/>
          <w:kern w:val="0"/>
          <w:bdr w:val="none" w:sz="0" w:space="0" w:color="auto" w:frame="1"/>
          <w:lang w:val="en-SG"/>
          <w14:ligatures w14:val="none"/>
        </w:rPr>
      </w:pPr>
      <w:r>
        <w:rPr>
          <w:rFonts w:ascii="Arial" w:eastAsia="Times New Roman" w:hAnsi="Arial" w:cs="Arial"/>
          <w:b/>
          <w:bCs/>
          <w:color w:val="1F1F1F"/>
          <w:kern w:val="0"/>
          <w:bdr w:val="none" w:sz="0" w:space="0" w:color="auto" w:frame="1"/>
          <w:lang w:val="en-SG"/>
          <w14:ligatures w14:val="none"/>
        </w:rPr>
        <w:br w:type="page"/>
      </w:r>
    </w:p>
    <w:p w14:paraId="7816DE53" w14:textId="71641A16" w:rsidR="00F5234F" w:rsidRPr="00F5234F" w:rsidRDefault="00F5234F" w:rsidP="00F5234F">
      <w:pPr>
        <w:spacing w:after="0" w:line="240" w:lineRule="auto"/>
        <w:rPr>
          <w:rFonts w:ascii="Arial" w:eastAsia="Times New Roman" w:hAnsi="Arial" w:cs="Arial"/>
          <w:color w:val="1F1F1F"/>
          <w:kern w:val="0"/>
          <w:lang w:val="en-SG"/>
          <w14:ligatures w14:val="none"/>
        </w:rPr>
      </w:pPr>
      <w:r w:rsidRPr="00F5234F">
        <w:rPr>
          <w:rFonts w:ascii="Arial" w:eastAsia="Times New Roman" w:hAnsi="Arial" w:cs="Arial"/>
          <w:b/>
          <w:bCs/>
          <w:color w:val="EE0000"/>
          <w:kern w:val="0"/>
          <w:bdr w:val="none" w:sz="0" w:space="0" w:color="auto" w:frame="1"/>
          <w:lang w:val="en-SG"/>
          <w14:ligatures w14:val="none"/>
        </w:rPr>
        <w:lastRenderedPageBreak/>
        <w:t>The Hackathon Demo Trigger</w:t>
      </w:r>
      <w:r w:rsidRPr="00F5234F">
        <w:rPr>
          <w:rFonts w:ascii="Arial" w:eastAsia="Times New Roman" w:hAnsi="Arial" w:cs="Arial"/>
          <w:b/>
          <w:bCs/>
          <w:color w:val="1F1F1F"/>
          <w:kern w:val="0"/>
          <w:bdr w:val="none" w:sz="0" w:space="0" w:color="auto" w:frame="1"/>
          <w:lang w:val="en-SG"/>
          <w14:ligatures w14:val="none"/>
        </w:rPr>
        <w:t>:</w:t>
      </w:r>
      <w:r w:rsidRPr="00F5234F">
        <w:rPr>
          <w:rFonts w:ascii="Arial" w:eastAsia="Times New Roman" w:hAnsi="Arial" w:cs="Arial"/>
          <w:color w:val="1F1F1F"/>
          <w:kern w:val="0"/>
          <w:lang w:val="en-SG"/>
          <w14:ligatures w14:val="none"/>
        </w:rPr>
        <w:t xml:space="preserve"> Phase 2, Step 3 contains the fatal operational flaw. It mandates a 24-hour internal assessment before the client is notified. When you run your delta analysis tool on stage, your GenAI should instantly flag this step, recognize that the cloud provider's enterprise client might be a Critical Information Infrastructure (CII) owner under the Cybersecurity (Amendment) Act 2024, and rewrite the rule to enforce immediate, zero-delay notification to preserve the client's mandatory 2-hour CSA reporting window.</w:t>
      </w:r>
    </w:p>
    <w:p w14:paraId="5BB95F53" w14:textId="77777777" w:rsidR="0068046C" w:rsidRPr="00F5234F" w:rsidRDefault="0068046C">
      <w:pPr>
        <w:rPr>
          <w:lang w:val="en-SG"/>
        </w:rPr>
      </w:pPr>
    </w:p>
    <w:sectPr w:rsidR="0068046C" w:rsidRPr="00F52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8A1"/>
    <w:multiLevelType w:val="multilevel"/>
    <w:tmpl w:val="D2C2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615F5"/>
    <w:multiLevelType w:val="multilevel"/>
    <w:tmpl w:val="2D8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81B39"/>
    <w:multiLevelType w:val="multilevel"/>
    <w:tmpl w:val="1D6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15BAB"/>
    <w:multiLevelType w:val="multilevel"/>
    <w:tmpl w:val="FD3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50669">
    <w:abstractNumId w:val="2"/>
  </w:num>
  <w:num w:numId="2" w16cid:durableId="1123767762">
    <w:abstractNumId w:val="0"/>
  </w:num>
  <w:num w:numId="3" w16cid:durableId="1680694058">
    <w:abstractNumId w:val="1"/>
  </w:num>
  <w:num w:numId="4" w16cid:durableId="984042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4F"/>
    <w:rsid w:val="00347A9E"/>
    <w:rsid w:val="0054159F"/>
    <w:rsid w:val="00613DE4"/>
    <w:rsid w:val="00662848"/>
    <w:rsid w:val="0068046C"/>
    <w:rsid w:val="009220E2"/>
    <w:rsid w:val="00982917"/>
    <w:rsid w:val="009D3F41"/>
    <w:rsid w:val="00AD54A4"/>
    <w:rsid w:val="00E051D4"/>
    <w:rsid w:val="00F5234F"/>
    <w:rsid w:val="00F63B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6441BA"/>
  <w15:chartTrackingRefBased/>
  <w15:docId w15:val="{6583FE95-040F-2144-834A-6EA37AD5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52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4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F5234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5234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5234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5234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5234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5234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5234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5234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52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3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52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34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5234F"/>
    <w:pPr>
      <w:spacing w:before="160"/>
      <w:jc w:val="center"/>
    </w:pPr>
    <w:rPr>
      <w:i/>
      <w:iCs/>
      <w:color w:val="404040" w:themeColor="text1" w:themeTint="BF"/>
    </w:rPr>
  </w:style>
  <w:style w:type="character" w:customStyle="1" w:styleId="QuoteChar">
    <w:name w:val="Quote Char"/>
    <w:basedOn w:val="DefaultParagraphFont"/>
    <w:link w:val="Quote"/>
    <w:uiPriority w:val="29"/>
    <w:rsid w:val="00F5234F"/>
    <w:rPr>
      <w:i/>
      <w:iCs/>
      <w:color w:val="404040" w:themeColor="text1" w:themeTint="BF"/>
      <w:lang w:val="en-GB"/>
    </w:rPr>
  </w:style>
  <w:style w:type="paragraph" w:styleId="ListParagraph">
    <w:name w:val="List Paragraph"/>
    <w:basedOn w:val="Normal"/>
    <w:uiPriority w:val="34"/>
    <w:qFormat/>
    <w:rsid w:val="00F5234F"/>
    <w:pPr>
      <w:ind w:left="720"/>
      <w:contextualSpacing/>
    </w:pPr>
  </w:style>
  <w:style w:type="character" w:styleId="IntenseEmphasis">
    <w:name w:val="Intense Emphasis"/>
    <w:basedOn w:val="DefaultParagraphFont"/>
    <w:uiPriority w:val="21"/>
    <w:qFormat/>
    <w:rsid w:val="00F5234F"/>
    <w:rPr>
      <w:i/>
      <w:iCs/>
      <w:color w:val="0F4761" w:themeColor="accent1" w:themeShade="BF"/>
    </w:rPr>
  </w:style>
  <w:style w:type="paragraph" w:styleId="IntenseQuote">
    <w:name w:val="Intense Quote"/>
    <w:basedOn w:val="Normal"/>
    <w:next w:val="Normal"/>
    <w:link w:val="IntenseQuoteChar"/>
    <w:uiPriority w:val="30"/>
    <w:qFormat/>
    <w:rsid w:val="00F52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34F"/>
    <w:rPr>
      <w:i/>
      <w:iCs/>
      <w:color w:val="0F4761" w:themeColor="accent1" w:themeShade="BF"/>
      <w:lang w:val="en-GB"/>
    </w:rPr>
  </w:style>
  <w:style w:type="character" w:styleId="IntenseReference">
    <w:name w:val="Intense Reference"/>
    <w:basedOn w:val="DefaultParagraphFont"/>
    <w:uiPriority w:val="32"/>
    <w:qFormat/>
    <w:rsid w:val="00F52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YEO Jun Zhe</dc:creator>
  <cp:keywords/>
  <dc:description/>
  <cp:lastModifiedBy>Ethan YEO Jun Zhe</cp:lastModifiedBy>
  <cp:revision>1</cp:revision>
  <dcterms:created xsi:type="dcterms:W3CDTF">2026-09-05T08:57:00Z</dcterms:created>
  <dcterms:modified xsi:type="dcterms:W3CDTF">2026-09-05T08:58:00Z</dcterms:modified>
</cp:coreProperties>
</file>