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B577" w14:textId="338042F8" w:rsidR="0068046C" w:rsidRDefault="001A7F1E">
      <w:proofErr w:type="spellStart"/>
      <w:r w:rsidRPr="001A7F1E">
        <w:rPr>
          <w:b/>
          <w:bCs/>
        </w:rPr>
        <w:t>MoneySmart</w:t>
      </w:r>
      <w:proofErr w:type="spellEnd"/>
      <w:r w:rsidRPr="001A7F1E">
        <w:rPr>
          <w:b/>
          <w:bCs/>
        </w:rPr>
        <w:t xml:space="preserve"> Singapore Pte Ltd v Artem </w:t>
      </w:r>
      <w:proofErr w:type="spellStart"/>
      <w:r w:rsidRPr="001A7F1E">
        <w:rPr>
          <w:b/>
          <w:bCs/>
        </w:rPr>
        <w:t>Musienko</w:t>
      </w:r>
      <w:proofErr w:type="spellEnd"/>
      <w:r w:rsidRPr="001A7F1E">
        <w:rPr>
          <w:b/>
          <w:bCs/>
        </w:rPr>
        <w:t xml:space="preserve"> [2024] SGHC 94</w:t>
      </w:r>
      <w:r>
        <w:br/>
        <w:t xml:space="preserve">Change in law: </w:t>
      </w:r>
      <w:r w:rsidRPr="001A7F1E">
        <w:t>Employers cannot justify a non-compete clause (NCC) merely to protect “confidential information” or “trade secrets” if the employment contract already contains a separate confidentiality clause. The NCC must protect a legitimate proprietary interest over and above what is already covered.</w:t>
      </w:r>
    </w:p>
    <w:p w14:paraId="10F49694" w14:textId="66E28236" w:rsidR="001A7F1E" w:rsidRDefault="001A7F1E">
      <w:r>
        <w:t xml:space="preserve">Description: </w:t>
      </w:r>
      <w:r w:rsidRPr="001A7F1E">
        <w:t xml:space="preserve">The 2024 High Court rulings in </w:t>
      </w:r>
      <w:proofErr w:type="spellStart"/>
      <w:r w:rsidRPr="001A7F1E">
        <w:t>MoneySmart</w:t>
      </w:r>
      <w:proofErr w:type="spellEnd"/>
      <w:r w:rsidRPr="001A7F1E">
        <w:t xml:space="preserve"> </w:t>
      </w:r>
      <w:proofErr w:type="spellStart"/>
      <w:r w:rsidRPr="001A7F1E">
        <w:t>signaled</w:t>
      </w:r>
      <w:proofErr w:type="spellEnd"/>
      <w:r w:rsidRPr="001A7F1E">
        <w:t xml:space="preserve"> a strict judicial crackdown on the tech sector's standard 'belt-and-suspenders' drafting practices. The courts are no longer accepting boilerplate assertions that non-competes are required to protect trade secrets when a confidentiality clause is already present. Therefore, any firm templates that explicitly anchor their </w:t>
      </w:r>
      <w:proofErr w:type="gramStart"/>
      <w:r w:rsidRPr="001A7F1E">
        <w:t>Non-Compete</w:t>
      </w:r>
      <w:proofErr w:type="gramEnd"/>
      <w:r w:rsidRPr="001A7F1E">
        <w:t xml:space="preserve"> clauses to the protection of 'Confidential Information' are now critically vulnerable and must be overhauled to cite distinct proprietary interests.</w:t>
      </w:r>
    </w:p>
    <w:p w14:paraId="24E8320E" w14:textId="77777777" w:rsidR="001A7F1E" w:rsidRDefault="001A7F1E"/>
    <w:p w14:paraId="5BBDED89" w14:textId="77777777" w:rsidR="001A7F1E" w:rsidRDefault="001A7F1E"/>
    <w:sectPr w:rsidR="001A7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1E"/>
    <w:rsid w:val="001A7F1E"/>
    <w:rsid w:val="00347A9E"/>
    <w:rsid w:val="0054159F"/>
    <w:rsid w:val="00613DE4"/>
    <w:rsid w:val="00662848"/>
    <w:rsid w:val="0068046C"/>
    <w:rsid w:val="009220E2"/>
    <w:rsid w:val="00982917"/>
    <w:rsid w:val="009D3F41"/>
    <w:rsid w:val="00AD54A4"/>
    <w:rsid w:val="00E051D4"/>
    <w:rsid w:val="00F6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4186F"/>
  <w15:chartTrackingRefBased/>
  <w15:docId w15:val="{FC3CEC54-4DBE-AE43-B2E7-05B1A62C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1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1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1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1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1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1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1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A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1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1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A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1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A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1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A7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YEO Jun Zhe</dc:creator>
  <cp:keywords/>
  <dc:description/>
  <cp:lastModifiedBy>Ethan YEO Jun Zhe</cp:lastModifiedBy>
  <cp:revision>1</cp:revision>
  <dcterms:created xsi:type="dcterms:W3CDTF">2026-09-05T13:26:00Z</dcterms:created>
  <dcterms:modified xsi:type="dcterms:W3CDTF">2026-09-05T13:28:00Z</dcterms:modified>
</cp:coreProperties>
</file>