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Employment (Amendment No. 2) Act 2026 — Minimum Notice Period</w:t>
      </w:r>
    </w:p>
    <w:p/>
    <w:p>
      <w:r>
        <w:t xml:space="preserve">This notice amends the minimum statutory notice period applicable to the termination of employment contracts. The amendment takes effect on 1 September 2026.</w:t>
      </w:r>
    </w:p>
    <w:p/>
    <w:p>
      <w:r>
        <w:t xml:space="preserve">Section 3(1) is amended by increasing the minimum notice period for termination of employment from 1 month to 2 months, effective 1 September 2026.</w:t>
      </w:r>
    </w:p>
    <w:p/>
    <w:p>
      <w:r>
        <w:t xml:space="preserve">Employers and employees remain free to agree a longer notice period by contract, provided it is not shorter than the statutory minimum.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2026-09-05T18:39:25.018Z</dcterms:created>
  <dcterms:modified xsi:type="dcterms:W3CDTF">2026-09-05T18:39:25.019Z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