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0"/>
          <w:szCs w:val="30"/>
        </w:rPr>
        <w:t xml:space="preserve">INTERNAL PRECEDENT - FICTIONAL SAMPLE</w:t>
      </w:r>
    </w:p>
    <w:p>
      <w:pPr>
        <w:spacing w:after="160"/>
      </w:pPr>
      <w:r>
        <w:t xml:space="preserve">Cloud &amp; IT Vendor Due Diligence Checklist</w:t>
      </w:r>
    </w:p>
    <w:p>
      <w:pPr>
        <w:spacing w:after="120"/>
      </w:pPr>
      <w:r>
        <w:rPr>
          <w:i/>
          <w:iCs/>
        </w:rPr>
        <w:t xml:space="preserve">Procurement precedent: cybersecurity-focused</w:t>
      </w:r>
    </w:p>
    <w:p>
      <w:pPr>
        <w:spacing w:after="160"/>
      </w:pPr>
      <w:r>
        <w:t xml:space="preserve">Prepared as a fictional law-firm database precedent. Originally based on the Cybersecurity Act 2018, 2020 Revised Edition, informal consolidation in force from 11 April 2022.</w:t>
      </w:r>
    </w:p>
    <w:p>
      <w:pPr>
        <w:spacing w:after="200"/>
      </w:pPr>
      <w:r>
        <w:rPr>
          <w:i/>
          <w:iCs/>
          <w:sz w:val="20"/>
          <w:szCs w:val="20"/>
        </w:rPr>
        <w:t xml:space="preserve">Amendment note: this precedent has been updated to reflect the Cybersecurity (Amendment) Act 2024 (Act 19 of 2024, gazetted 5 July 2024, effective 1 January 2025), which introduces Part 3A (designated providers responsible for third-party-owned critical information infrastructure), deletes former section 11, and inserts the new civil penalty regime at sections 37A-37D. Passages drafted against the pre-amendment Act are marked accordingly below.</w:t>
      </w:r>
    </w:p>
    <w:p>
      <w:pPr>
        <w:spacing w:after="200"/>
      </w:pPr>
      <w:r>
        <w:rPr>
          <w:color w:val="555555"/>
          <w:sz w:val="18"/>
          <w:szCs w:val="18"/>
        </w:rPr>
        <w:t xml:space="preserve">Matter No.: PROC-CYBER-DD | Use: Pre-engagement / renewal / material change | Reviewer: Procurement + CISO + Legal</w:t>
      </w:r>
    </w:p>
    <w:p>
      <w:pPr>
        <w:pStyle w:val="Heading1"/>
        <w:spacing w:after="120" w:before="240"/>
      </w:pPr>
      <w:r>
        <w:rPr>
          <w:b/>
          <w:bCs/>
          <w:sz w:val="26"/>
          <w:szCs w:val="26"/>
        </w:rPr>
        <w:t xml:space="preserve">Instructions</w:t>
      </w:r>
    </w:p>
    <w:p>
      <w:pPr>
        <w:spacing w:after="160"/>
      </w:pPr>
      <w:r>
        <w:t xml:space="preserve">Complete for cloud, managed IT, security and other vendors that host, access, manage, monitor or support systems relevant to essential services or CII. “Evidence” should identify the document, link, date or responsible person reviewed. Items 21–22 apply specifically where the vendor — not us — owns the infrastructure (third-party-owned CII under Part 3A of the 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tcPr>
          <w:p>
            <w:r>
              <w:rPr>
                <w:b/>
                <w:bCs/>
              </w:rPr>
              <w:t xml:space="preserve">#</w:t>
            </w:r>
          </w:p>
        </w:tc>
        <w:tc>
          <w:tcPr>
            <w:tcW w:type="pct" w:w="55%"/>
          </w:tcPr>
          <w:p>
            <w:r>
              <w:rPr>
                <w:b/>
                <w:bCs/>
              </w:rPr>
              <w:t xml:space="preserve">Due diligence question</w:t>
            </w:r>
          </w:p>
        </w:tc>
        <w:tc>
          <w:tcPr>
            <w:tcW w:type="pct" w:w="10%"/>
          </w:tcPr>
          <w:p>
            <w:r>
              <w:rPr>
                <w:b/>
                <w:bCs/>
              </w:rPr>
              <w:t xml:space="preserve">Y/N/NA</w:t>
            </w:r>
          </w:p>
        </w:tc>
        <w:tc>
          <w:tcPr>
            <w:tcW w:type="pct" w:w="20%"/>
          </w:tcPr>
          <w:p>
            <w:r>
              <w:rPr>
                <w:b/>
                <w:bCs/>
              </w:rPr>
              <w:t xml:space="preserve">Evidence / comments</w:t>
            </w:r>
          </w:p>
        </w:tc>
        <w:tc>
          <w:tcPr>
            <w:tcW w:type="pct" w:w="10%"/>
          </w:tcPr>
          <w:p>
            <w:r>
              <w:rPr>
                <w:b/>
                <w:bCs/>
              </w:rPr>
              <w:t xml:space="preserve">Risk</w:t>
            </w:r>
          </w:p>
        </w:tc>
      </w:tr>
      <w:tr>
        <w:tc>
          <w:tcPr>
            <w:tcW w:type="pct" w:w="5%"/>
          </w:tcPr>
          <w:p>
            <w:r>
              <w:rPr>
                <w:b w:val="false"/>
                <w:bCs w:val="false"/>
              </w:rPr>
              <w:t xml:space="preserve">1</w:t>
            </w:r>
          </w:p>
        </w:tc>
        <w:tc>
          <w:tcPr>
            <w:tcW w:type="pct" w:w="55%"/>
          </w:tcPr>
          <w:p>
            <w:r>
              <w:rPr>
                <w:b w:val="false"/>
                <w:bCs w:val="false"/>
              </w:rPr>
              <w:t xml:space="preserve">Will the vendor host, operate, administer or connect to any system that is or may be designated CII?</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2</w:t>
            </w:r>
          </w:p>
        </w:tc>
        <w:tc>
          <w:tcPr>
            <w:tcW w:type="pct" w:w="55%"/>
          </w:tcPr>
          <w:p>
            <w:r>
              <w:rPr>
                <w:b w:val="false"/>
                <w:bCs w:val="false"/>
              </w:rPr>
              <w:t xml:space="preserve">Does the proposed architecture create new interconnections with CII or systems communicating with CII?</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3</w:t>
            </w:r>
          </w:p>
        </w:tc>
        <w:tc>
          <w:tcPr>
            <w:tcW w:type="pct" w:w="55%"/>
          </w:tcPr>
          <w:p>
            <w:r>
              <w:rPr>
                <w:b w:val="false"/>
                <w:bCs w:val="false"/>
              </w:rPr>
              <w:t xml:space="preserve">Can the vendor provide current design, configuration, security and operational information promptly if required?</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4</w:t>
            </w:r>
          </w:p>
        </w:tc>
        <w:tc>
          <w:tcPr>
            <w:tcW w:type="pct" w:w="55%"/>
          </w:tcPr>
          <w:p>
            <w:r>
              <w:rPr>
                <w:b w:val="false"/>
                <w:bCs w:val="false"/>
              </w:rPr>
              <w:t xml:space="preserve">Does the contract permit disclosure of vendor information where needed to comply with a lawful regulatory requirement?</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5</w:t>
            </w:r>
          </w:p>
        </w:tc>
        <w:tc>
          <w:tcPr>
            <w:tcW w:type="pct" w:w="55%"/>
          </w:tcPr>
          <w:p>
            <w:r>
              <w:rPr>
                <w:b w:val="false"/>
                <w:bCs w:val="false"/>
              </w:rPr>
              <w:t xml:space="preserve">Is there a formal change-management process for architecture, configuration, security, hosting location and operations?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6</w:t>
            </w:r>
          </w:p>
        </w:tc>
        <w:tc>
          <w:tcPr>
            <w:tcW w:type="pct" w:w="55%"/>
          </w:tcPr>
          <w:p>
            <w:r>
              <w:rPr>
                <w:b w:val="false"/>
                <w:bCs w:val="false"/>
              </w:rPr>
              <w:t xml:space="preserve">Will the vendor notify us of changes that may affect cybersecurity or incident-response capability?</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7</w:t>
            </w:r>
          </w:p>
        </w:tc>
        <w:tc>
          <w:tcPr>
            <w:tcW w:type="pct" w:w="55%"/>
          </w:tcPr>
          <w:p>
            <w:r>
              <w:rPr>
                <w:b w:val="false"/>
                <w:bCs w:val="false"/>
              </w:rPr>
              <w:t xml:space="preserve">Does the vendor maintain threat and incident detection mechanisms for the in-scope services?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8</w:t>
            </w:r>
          </w:p>
        </w:tc>
        <w:tc>
          <w:tcPr>
            <w:tcW w:type="pct" w:w="55%"/>
          </w:tcPr>
          <w:p>
            <w:r>
              <w:rPr>
                <w:b w:val="false"/>
                <w:bCs w:val="false"/>
              </w:rPr>
              <w:t xml:space="preserve">Is there a 24/7 incident escalation contact and documented escalation path?</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9</w:t>
            </w:r>
          </w:p>
        </w:tc>
        <w:tc>
          <w:tcPr>
            <w:tcW w:type="pct" w:w="55%"/>
          </w:tcPr>
          <w:p>
            <w:r>
              <w:rPr>
                <w:b w:val="false"/>
                <w:bCs w:val="false"/>
              </w:rPr>
              <w:t xml:space="preserve">Will the vendor preserve logs/evidence and support regulator or incident-response requests?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10</w:t>
            </w:r>
          </w:p>
        </w:tc>
        <w:tc>
          <w:tcPr>
            <w:tcW w:type="pct" w:w="55%"/>
          </w:tcPr>
          <w:p>
            <w:r>
              <w:rPr>
                <w:b w:val="false"/>
                <w:bCs w:val="false"/>
              </w:rPr>
              <w:t xml:space="preserve">Can the vendor support audits and cybersecurity risk assessments relating to the in-scope systems?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11</w:t>
            </w:r>
          </w:p>
        </w:tc>
        <w:tc>
          <w:tcPr>
            <w:tcW w:type="pct" w:w="55%"/>
          </w:tcPr>
          <w:p>
            <w:r>
              <w:rPr>
                <w:b w:val="false"/>
                <w:bCs w:val="false"/>
              </w:rPr>
              <w:t xml:space="preserve">Will the vendor remediate audit/risk findings within agreed risk-based periods?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12</w:t>
            </w:r>
          </w:p>
        </w:tc>
        <w:tc>
          <w:tcPr>
            <w:tcW w:type="pct" w:w="55%"/>
          </w:tcPr>
          <w:p>
            <w:r>
              <w:rPr>
                <w:b w:val="false"/>
                <w:bCs w:val="false"/>
              </w:rPr>
              <w:t xml:space="preserve">Does the vendor provide managed SOC monitoring or penetration testing? If yes, verify whether the service is licensable under the Act.</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13</w:t>
            </w:r>
          </w:p>
        </w:tc>
        <w:tc>
          <w:tcPr>
            <w:tcW w:type="pct" w:w="55%"/>
          </w:tcPr>
          <w:p>
            <w:r>
              <w:rPr>
                <w:b w:val="false"/>
                <w:bCs w:val="false"/>
              </w:rPr>
              <w:t xml:space="preserve">Where a licensable service is supplied, has current licence evidence been obtained and recorded?</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14</w:t>
            </w:r>
          </w:p>
        </w:tc>
        <w:tc>
          <w:tcPr>
            <w:tcW w:type="pct" w:w="55%"/>
          </w:tcPr>
          <w:p>
            <w:r>
              <w:rPr>
                <w:b w:val="false"/>
                <w:bCs w:val="false"/>
              </w:rPr>
              <w:t xml:space="preserve">Are subcontractors used for hosting, security operations, privileged administration or incident response?</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15</w:t>
            </w:r>
          </w:p>
        </w:tc>
        <w:tc>
          <w:tcPr>
            <w:tcW w:type="pct" w:w="55%"/>
          </w:tcPr>
          <w:p>
            <w:r>
              <w:rPr>
                <w:b w:val="false"/>
                <w:bCs w:val="false"/>
              </w:rPr>
              <w:t xml:space="preserve">Are subcontractors subject to equivalent security, incident, evidence-preservation and cooperation obligations?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16</w:t>
            </w:r>
          </w:p>
        </w:tc>
        <w:tc>
          <w:tcPr>
            <w:tcW w:type="pct" w:w="55%"/>
          </w:tcPr>
          <w:p>
            <w:r>
              <w:rPr>
                <w:b w:val="false"/>
                <w:bCs w:val="false"/>
              </w:rPr>
              <w:t xml:space="preserve">Are access rights least-privilege, role-based, reviewed and promptly revoked?</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17</w:t>
            </w:r>
          </w:p>
        </w:tc>
        <w:tc>
          <w:tcPr>
            <w:tcW w:type="pct" w:w="55%"/>
          </w:tcPr>
          <w:p>
            <w:r>
              <w:rPr>
                <w:b w:val="false"/>
                <w:bCs w:val="false"/>
              </w:rPr>
              <w:t xml:space="preserve">Are logging, vulnerability management, patching, malware protection, backup and recovery controls documented?</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18</w:t>
            </w:r>
          </w:p>
        </w:tc>
        <w:tc>
          <w:tcPr>
            <w:tcW w:type="pct" w:w="55%"/>
          </w:tcPr>
          <w:p>
            <w:r>
              <w:rPr>
                <w:b w:val="false"/>
                <w:bCs w:val="false"/>
              </w:rPr>
              <w:t xml:space="preserve">Can the vendor support emergency remedial actions such as malware removal, patching, isolation, monitoring and vulnerability scans?</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19</w:t>
            </w:r>
          </w:p>
        </w:tc>
        <w:tc>
          <w:tcPr>
            <w:tcW w:type="pct" w:w="55%"/>
          </w:tcPr>
          <w:p>
            <w:r>
              <w:rPr>
                <w:b w:val="false"/>
                <w:bCs w:val="false"/>
              </w:rPr>
              <w:t xml:space="preserve">Are business continuity, disaster recovery and exit/transition arrangements documented and tested?</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20</w:t>
            </w:r>
          </w:p>
        </w:tc>
        <w:tc>
          <w:tcPr>
            <w:tcW w:type="pct" w:w="55%"/>
          </w:tcPr>
          <w:p>
            <w:r>
              <w:rPr>
                <w:b w:val="false"/>
                <w:bCs w:val="false"/>
              </w:rPr>
              <w:t xml:space="preserve">Has Legal checked applicable codes of practice, standards of performance, written directions and prescribed reporting requirements that are not contained in the Act itself?</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21</w:t>
            </w:r>
          </w:p>
        </w:tc>
        <w:tc>
          <w:tcPr>
            <w:tcW w:type="pct" w:w="55%"/>
          </w:tcPr>
          <w:p>
            <w:r>
              <w:rPr>
                <w:b w:val="false"/>
                <w:bCs w:val="false"/>
              </w:rPr>
              <w:t xml:space="preserve">Where the vendor owns infrastructure that is not ours, will the vendor give the legally binding commitments Part 3A requires of an infrastructure owner — information furnishing (s 16E), standards conformance (s 16F), ownership-change notice within 7 days (s 16H), incident reporting (s 16I), and audit/risk-assessment cooperation (s 16J)?</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r>
        <w:tc>
          <w:tcPr>
            <w:tcW w:type="pct" w:w="5%"/>
          </w:tcPr>
          <w:p>
            <w:r>
              <w:rPr>
                <w:b w:val="false"/>
                <w:bCs w:val="false"/>
              </w:rPr>
              <w:t xml:space="preserve">22</w:t>
            </w:r>
          </w:p>
        </w:tc>
        <w:tc>
          <w:tcPr>
            <w:tcW w:type="pct" w:w="55%"/>
          </w:tcPr>
          <w:p>
            <w:r>
              <w:rPr>
                <w:b w:val="false"/>
                <w:bCs w:val="false"/>
              </w:rPr>
              <w:t xml:space="preserve">Does the vendor commit to notifying us of a change in beneficial or legal ownership of the infrastructure within 7 days, and to supporting our 14-day Commissioner-notification deadline for material changes and audit/risk-assessment reports (ss 16E(8), 16H, 16J(5))?</w:t>
            </w:r>
          </w:p>
        </w:tc>
        <w:tc>
          <w:tcPr>
            <w:tcW w:type="pct" w:w="10%"/>
          </w:tcPr>
          <w:p>
            <w:r>
              <w:rPr>
                <w:b w:val="false"/>
                <w:bCs w:val="false"/>
              </w:rPr>
              <w:t xml:space="preserve"/>
            </w:r>
          </w:p>
        </w:tc>
        <w:tc>
          <w:tcPr>
            <w:tcW w:type="pct" w:w="20%"/>
          </w:tcPr>
          <w:p>
            <w:r>
              <w:rPr>
                <w:b w:val="false"/>
                <w:bCs w:val="false"/>
              </w:rPr>
              <w:t xml:space="preserve"/>
            </w:r>
          </w:p>
        </w:tc>
        <w:tc>
          <w:tcPr>
            <w:tcW w:type="pct" w:w="10%"/>
          </w:tcPr>
          <w:p>
            <w:r>
              <w:rPr>
                <w:b w:val="false"/>
                <w:bCs w:val="false"/>
              </w:rPr>
              <w:t xml:space="preserve"/>
            </w:r>
          </w:p>
        </w:tc>
      </w:tr>
    </w:tbl>
    <w:p>
      <w:pPr>
        <w:pStyle w:val="Heading1"/>
        <w:spacing w:after="120" w:before="240"/>
      </w:pPr>
      <w:r>
        <w:rPr>
          <w:b/>
          <w:bCs/>
          <w:sz w:val="26"/>
          <w:szCs w:val="26"/>
        </w:rPr>
        <w:t xml:space="preserve">Risk Rating Guide</w:t>
      </w:r>
    </w:p>
    <w:p>
      <w:pPr>
        <w:spacing w:after="160"/>
      </w:pPr>
      <w:r>
        <w:t xml:space="preserve">High - control gap could prevent statutory compliance, materially impair incident response, or affect a critical system. Medium - material weakness with compensating controls possible. Low - minor documentation or operational issue. Escalate all High findings to Legal and the CISO before contract signature.</w:t>
      </w:r>
    </w:p>
    <w:p>
      <w:pPr>
        <w:pStyle w:val="Heading1"/>
        <w:spacing w:after="120" w:before="240"/>
      </w:pPr>
      <w:r>
        <w:rPr>
          <w:b/>
          <w:bCs/>
          <w:sz w:val="26"/>
          <w:szCs w:val="26"/>
        </w:rPr>
        <w:t xml:space="preserve">Approval</w:t>
      </w:r>
    </w:p>
    <w:p>
      <w:pPr>
        <w:spacing w:after="160"/>
      </w:pPr>
      <w:r>
        <w:t xml:space="preserve">Procurement reviewer: ____________________  Date: __________</w:t>
      </w:r>
    </w:p>
    <w:p>
      <w:pPr>
        <w:spacing w:after="160"/>
      </w:pPr>
      <w:r>
        <w:t xml:space="preserve">Cybersecurity reviewer: _________________  Date: __________</w:t>
      </w:r>
    </w:p>
    <w:p>
      <w:pPr>
        <w:spacing w:after="160"/>
      </w:pPr>
      <w:r>
        <w:t xml:space="preserve">Legal reviewer: _________________________  Date: __________</w:t>
      </w:r>
    </w:p>
    <w:p>
      <w:pPr>
        <w:spacing w:after="160"/>
      </w:pPr>
      <w:r>
        <w:t xml:space="preserve">Final decision / conditions: ____________________________________________</w:t>
      </w:r>
    </w:p>
    <w:p>
      <w:pPr>
        <w:pStyle w:val="Heading1"/>
        <w:spacing w:after="120" w:before="240"/>
      </w:pPr>
      <w:r>
        <w:rPr>
          <w:b/>
          <w:bCs/>
          <w:sz w:val="26"/>
          <w:szCs w:val="26"/>
        </w:rPr>
        <w:t xml:space="preserve">Source Basis</w:t>
      </w:r>
    </w:p>
    <w:p>
      <w:pPr>
        <w:spacing w:after="160"/>
      </w:pPr>
      <w:r>
        <w:t xml:space="preserve">This precedent is drafted against the Cybersecurity Act 2018 as amended by the Cybersecurity (Amendment) Act 2024. Key statutory anchors used are: s 10 (CII information and material changes); ss 16A–16L (Part 3A — designated providers responsible for third-party-owned critical information infrastructure); s 35A (codes/standards/directions, replacing former s 11); s 12 (written directions); s 14 (incident detection/reporting); s 15 (audits/risk assessments); ss 19–20 (incident investigation/remediation); ss 37A–37D (civil penalties); Part 5 and Second Schedule (managed SOC monitoring and penetration testing licensing). Where the Act refers to prescribed forms, periods, applicable codes of practice, standards of performance or written directions, this precedent requires verification rather than inventing those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2026-09-05T17:03:33.052Z</dcterms:created>
  <dcterms:modified xsi:type="dcterms:W3CDTF">2026-09-05T17:03:33.052Z</dcterms:modified>
</cp:coreProperties>
</file>

<file path=docProps/custom.xml><?xml version="1.0" encoding="utf-8"?>
<Properties xmlns="http://schemas.openxmlformats.org/officeDocument/2006/custom-properties" xmlns:vt="http://schemas.openxmlformats.org/officeDocument/2006/docPropsVTypes"/>
</file>