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1273" w14:textId="77777777" w:rsidR="00FF0336" w:rsidRPr="00FF0336" w:rsidRDefault="00FF0336" w:rsidP="00FF0336">
      <w:pPr>
        <w:spacing w:after="0" w:line="240" w:lineRule="auto"/>
        <w:outlineLvl w:val="1"/>
        <w:rPr>
          <w:rFonts w:ascii="Arial" w:eastAsia="Times New Roman" w:hAnsi="Arial" w:cs="Arial"/>
          <w:b/>
          <w:bCs/>
          <w:color w:val="1F1F1F"/>
          <w:kern w:val="0"/>
          <w:sz w:val="36"/>
          <w:szCs w:val="36"/>
          <w:lang w:val="en-SG"/>
          <w14:ligatures w14:val="none"/>
        </w:rPr>
      </w:pPr>
      <w:r w:rsidRPr="00FF0336">
        <w:rPr>
          <w:rFonts w:ascii="Arial" w:eastAsia="Times New Roman" w:hAnsi="Arial" w:cs="Arial"/>
          <w:b/>
          <w:bCs/>
          <w:color w:val="1F1F1F"/>
          <w:kern w:val="0"/>
          <w:sz w:val="36"/>
          <w:szCs w:val="36"/>
          <w:lang w:val="en-SG"/>
          <w14:ligatures w14:val="none"/>
        </w:rPr>
        <w:t>INTERNAL PRACTICE PLAYBOOK: Restraint of Trade &amp; Restrictive Covenants</w:t>
      </w:r>
    </w:p>
    <w:p w14:paraId="6EC16E9C"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Document ID:</w:t>
      </w:r>
      <w:r w:rsidRPr="00FF0336">
        <w:rPr>
          <w:rFonts w:ascii="Arial" w:eastAsia="Times New Roman" w:hAnsi="Arial" w:cs="Arial"/>
          <w:color w:val="1F1F1F"/>
          <w:kern w:val="0"/>
          <w:lang w:val="en-SG"/>
          <w14:ligatures w14:val="none"/>
        </w:rPr>
        <w:t xml:space="preserve"> PLB-EMP-2022-V3.1</w:t>
      </w:r>
    </w:p>
    <w:p w14:paraId="0DBD56A7"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Practice Group:</w:t>
      </w:r>
      <w:r w:rsidRPr="00FF0336">
        <w:rPr>
          <w:rFonts w:ascii="Arial" w:eastAsia="Times New Roman" w:hAnsi="Arial" w:cs="Arial"/>
          <w:color w:val="1F1F1F"/>
          <w:kern w:val="0"/>
          <w:lang w:val="en-SG"/>
          <w14:ligatures w14:val="none"/>
        </w:rPr>
        <w:t xml:space="preserve"> Employment &amp; Corporate Services</w:t>
      </w:r>
    </w:p>
    <w:p w14:paraId="33B20170"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Last Updated:</w:t>
      </w:r>
      <w:r w:rsidRPr="00FF0336">
        <w:rPr>
          <w:rFonts w:ascii="Arial" w:eastAsia="Times New Roman" w:hAnsi="Arial" w:cs="Arial"/>
          <w:color w:val="1F1F1F"/>
          <w:kern w:val="0"/>
          <w:lang w:val="en-SG"/>
          <w14:ligatures w14:val="none"/>
        </w:rPr>
        <w:t xml:space="preserve"> November 2022 </w:t>
      </w:r>
      <w:r w:rsidRPr="00FF0336">
        <w:rPr>
          <w:rFonts w:ascii="Arial" w:eastAsia="Times New Roman" w:hAnsi="Arial" w:cs="Arial"/>
          <w:i/>
          <w:iCs/>
          <w:color w:val="1F1F1F"/>
          <w:kern w:val="0"/>
          <w:bdr w:val="none" w:sz="0" w:space="0" w:color="auto" w:frame="1"/>
          <w:lang w:val="en-SG"/>
          <w14:ligatures w14:val="none"/>
        </w:rPr>
        <w:t>(Note: Outdated pre-2024 version)</w:t>
      </w:r>
    </w:p>
    <w:p w14:paraId="4EEDE514"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br/>
      </w:r>
    </w:p>
    <w:p w14:paraId="1779FD5F" w14:textId="77777777" w:rsidR="00FF0336" w:rsidRPr="00FF0336" w:rsidRDefault="00FF0336" w:rsidP="00FF0336">
      <w:pPr>
        <w:spacing w:after="0" w:line="240" w:lineRule="auto"/>
        <w:outlineLvl w:val="2"/>
        <w:rPr>
          <w:rFonts w:ascii="Arial" w:eastAsia="Times New Roman" w:hAnsi="Arial" w:cs="Arial"/>
          <w:b/>
          <w:bCs/>
          <w:color w:val="1F1F1F"/>
          <w:kern w:val="0"/>
          <w:sz w:val="27"/>
          <w:szCs w:val="27"/>
          <w:lang w:val="en-SG"/>
          <w14:ligatures w14:val="none"/>
        </w:rPr>
      </w:pPr>
      <w:r w:rsidRPr="00FF0336">
        <w:rPr>
          <w:rFonts w:ascii="Arial" w:eastAsia="Times New Roman" w:hAnsi="Arial" w:cs="Arial"/>
          <w:b/>
          <w:bCs/>
          <w:color w:val="1F1F1F"/>
          <w:kern w:val="0"/>
          <w:sz w:val="27"/>
          <w:szCs w:val="27"/>
          <w:lang w:val="en-SG"/>
          <w14:ligatures w14:val="none"/>
        </w:rPr>
        <w:t>1. Objective and Scope</w:t>
      </w:r>
    </w:p>
    <w:p w14:paraId="3DF9D577"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t>This playbook provides standard drafting procedures for restrictive covenants in senior executive and tech-sector employment agreements. The primary objective is to maximize the employer's leverage and ensure the broadest possible post-termination protection of company assets.</w:t>
      </w:r>
    </w:p>
    <w:p w14:paraId="347F19A9"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br/>
      </w:r>
    </w:p>
    <w:p w14:paraId="0B0843A9" w14:textId="77777777" w:rsidR="00FF0336" w:rsidRPr="00FF0336" w:rsidRDefault="00FF0336" w:rsidP="00FF0336">
      <w:pPr>
        <w:spacing w:after="0" w:line="240" w:lineRule="auto"/>
        <w:outlineLvl w:val="2"/>
        <w:rPr>
          <w:rFonts w:ascii="Arial" w:eastAsia="Times New Roman" w:hAnsi="Arial" w:cs="Arial"/>
          <w:b/>
          <w:bCs/>
          <w:color w:val="1F1F1F"/>
          <w:kern w:val="0"/>
          <w:sz w:val="27"/>
          <w:szCs w:val="27"/>
          <w:lang w:val="en-SG"/>
          <w14:ligatures w14:val="none"/>
        </w:rPr>
      </w:pPr>
      <w:r w:rsidRPr="00FF0336">
        <w:rPr>
          <w:rFonts w:ascii="Arial" w:eastAsia="Times New Roman" w:hAnsi="Arial" w:cs="Arial"/>
          <w:b/>
          <w:bCs/>
          <w:color w:val="1F1F1F"/>
          <w:kern w:val="0"/>
          <w:sz w:val="27"/>
          <w:szCs w:val="27"/>
          <w:lang w:val="en-SG"/>
          <w14:ligatures w14:val="none"/>
        </w:rPr>
        <w:t>2. The "Belt-and-Braces" Strategy</w:t>
      </w:r>
    </w:p>
    <w:p w14:paraId="57186703"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t>When protecting a client's proprietary assets, do not rely solely on a standard Confidentiality/Non-Disclosure clause. Confidentiality breaches are notoriously difficult to police and prove in court.</w:t>
      </w:r>
    </w:p>
    <w:p w14:paraId="5E34B5E7"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Mandatory Drafting Rule:</w:t>
      </w:r>
      <w:r w:rsidRPr="00FF0336">
        <w:rPr>
          <w:rFonts w:ascii="Arial" w:eastAsia="Times New Roman" w:hAnsi="Arial" w:cs="Arial"/>
          <w:color w:val="1F1F1F"/>
          <w:kern w:val="0"/>
          <w:lang w:val="en-SG"/>
          <w14:ligatures w14:val="none"/>
        </w:rPr>
        <w:t xml:space="preserve"> Associates must always include a Non-Compete clause alongside the Confidentiality clause. You must explicitly state in the draft that the purpose of the Non-Compete is to "protect the Company's Confidential Information and Trade Secrets." This creates overlapping protection.</w:t>
      </w:r>
    </w:p>
    <w:p w14:paraId="27335AA0"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br/>
      </w:r>
    </w:p>
    <w:p w14:paraId="782881B1" w14:textId="77777777" w:rsidR="00FF0336" w:rsidRPr="00FF0336" w:rsidRDefault="00FF0336" w:rsidP="00FF0336">
      <w:pPr>
        <w:spacing w:after="0" w:line="240" w:lineRule="auto"/>
        <w:outlineLvl w:val="2"/>
        <w:rPr>
          <w:rFonts w:ascii="Arial" w:eastAsia="Times New Roman" w:hAnsi="Arial" w:cs="Arial"/>
          <w:b/>
          <w:bCs/>
          <w:color w:val="1F1F1F"/>
          <w:kern w:val="0"/>
          <w:sz w:val="27"/>
          <w:szCs w:val="27"/>
          <w:lang w:val="en-SG"/>
          <w14:ligatures w14:val="none"/>
        </w:rPr>
      </w:pPr>
      <w:r w:rsidRPr="00FF0336">
        <w:rPr>
          <w:rFonts w:ascii="Arial" w:eastAsia="Times New Roman" w:hAnsi="Arial" w:cs="Arial"/>
          <w:b/>
          <w:bCs/>
          <w:color w:val="1F1F1F"/>
          <w:kern w:val="0"/>
          <w:sz w:val="27"/>
          <w:szCs w:val="27"/>
          <w:lang w:val="en-SG"/>
          <w14:ligatures w14:val="none"/>
        </w:rPr>
        <w:t>3. Drafting the Non-Compete Clause</w:t>
      </w:r>
    </w:p>
    <w:p w14:paraId="45044DC6"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t>When drafting the restraint, apply the following standard positions:</w:t>
      </w:r>
    </w:p>
    <w:p w14:paraId="5128831D"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br/>
      </w:r>
    </w:p>
    <w:p w14:paraId="1A3AD5BD" w14:textId="77777777" w:rsidR="00FF0336" w:rsidRPr="00FF0336" w:rsidRDefault="00FF0336" w:rsidP="00FF0336">
      <w:pPr>
        <w:numPr>
          <w:ilvl w:val="0"/>
          <w:numId w:val="1"/>
        </w:num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3.1 The Proprietary Interest:</w:t>
      </w:r>
      <w:r w:rsidRPr="00FF0336">
        <w:rPr>
          <w:rFonts w:ascii="Arial" w:eastAsia="Times New Roman" w:hAnsi="Arial" w:cs="Arial"/>
          <w:color w:val="1F1F1F"/>
          <w:kern w:val="0"/>
          <w:lang w:val="en-SG"/>
          <w14:ligatures w14:val="none"/>
        </w:rPr>
        <w:t xml:space="preserve"> Use the boilerplate definition of "Confidential Information" to anchor the non-compete. Even if the executive's role focuses on sales or management, list "protection of trade secrets, algorithms, and financial data" as the primary justification for keeping them out of the market.</w:t>
      </w:r>
    </w:p>
    <w:p w14:paraId="5E268435" w14:textId="77777777" w:rsidR="00FF0336" w:rsidRPr="00FF0336" w:rsidRDefault="00FF0336" w:rsidP="00FF0336">
      <w:pPr>
        <w:spacing w:after="0" w:line="240" w:lineRule="auto"/>
        <w:ind w:left="720"/>
        <w:rPr>
          <w:rFonts w:ascii="Arial" w:eastAsia="Times New Roman" w:hAnsi="Arial" w:cs="Arial"/>
          <w:color w:val="1F1F1F"/>
          <w:kern w:val="0"/>
          <w:lang w:val="en-SG"/>
          <w14:ligatures w14:val="none"/>
        </w:rPr>
      </w:pPr>
    </w:p>
    <w:p w14:paraId="06AAC936" w14:textId="77777777" w:rsidR="00FF0336" w:rsidRPr="00FF0336" w:rsidRDefault="00FF0336" w:rsidP="00FF0336">
      <w:pPr>
        <w:numPr>
          <w:ilvl w:val="0"/>
          <w:numId w:val="1"/>
        </w:num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3.2 Geographical Scope:</w:t>
      </w:r>
      <w:r w:rsidRPr="00FF0336">
        <w:rPr>
          <w:rFonts w:ascii="Arial" w:eastAsia="Times New Roman" w:hAnsi="Arial" w:cs="Arial"/>
          <w:color w:val="1F1F1F"/>
          <w:kern w:val="0"/>
          <w:lang w:val="en-SG"/>
          <w14:ligatures w14:val="none"/>
        </w:rPr>
        <w:t xml:space="preserve"> Draft the Restricted Territory as broadly as possible. Default to "Singapore and all other jurisdictions in Southeast Asia where the Company currently operates."</w:t>
      </w:r>
    </w:p>
    <w:p w14:paraId="60F5DBEE" w14:textId="77777777" w:rsidR="00FF0336" w:rsidRPr="00FF0336" w:rsidRDefault="00FF0336" w:rsidP="00FF0336">
      <w:pPr>
        <w:spacing w:after="0" w:line="240" w:lineRule="auto"/>
        <w:ind w:left="720"/>
        <w:rPr>
          <w:rFonts w:ascii="Arial" w:eastAsia="Times New Roman" w:hAnsi="Arial" w:cs="Arial"/>
          <w:color w:val="1F1F1F"/>
          <w:kern w:val="0"/>
          <w:lang w:val="en-SG"/>
          <w14:ligatures w14:val="none"/>
        </w:rPr>
      </w:pPr>
    </w:p>
    <w:p w14:paraId="530325F5" w14:textId="77777777" w:rsidR="00FF0336" w:rsidRPr="00FF0336" w:rsidRDefault="00FF0336" w:rsidP="00FF0336">
      <w:pPr>
        <w:numPr>
          <w:ilvl w:val="0"/>
          <w:numId w:val="1"/>
        </w:num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3.3 Temporal Scope (The Cascading Clause):</w:t>
      </w:r>
      <w:r w:rsidRPr="00FF0336">
        <w:rPr>
          <w:rFonts w:ascii="Arial" w:eastAsia="Times New Roman" w:hAnsi="Arial" w:cs="Arial"/>
          <w:color w:val="1F1F1F"/>
          <w:kern w:val="0"/>
          <w:lang w:val="en-SG"/>
          <w14:ligatures w14:val="none"/>
        </w:rPr>
        <w:t xml:space="preserve"> Always draft the duration using a cascading "waterfall" mechanism. This prevents the court from striking down the entire clause if they find the initial duration too long.</w:t>
      </w:r>
    </w:p>
    <w:p w14:paraId="3AD40271" w14:textId="77777777" w:rsidR="00FF0336" w:rsidRPr="00FF0336" w:rsidRDefault="00FF0336" w:rsidP="00FF0336">
      <w:pPr>
        <w:spacing w:after="0" w:line="240" w:lineRule="auto"/>
        <w:ind w:left="720"/>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br/>
      </w:r>
    </w:p>
    <w:p w14:paraId="726E8C1A" w14:textId="77777777" w:rsidR="00FF0336" w:rsidRPr="00FF0336" w:rsidRDefault="00FF0336" w:rsidP="00FF0336">
      <w:pPr>
        <w:numPr>
          <w:ilvl w:val="1"/>
          <w:numId w:val="1"/>
        </w:num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i/>
          <w:iCs/>
          <w:color w:val="1F1F1F"/>
          <w:kern w:val="0"/>
          <w:bdr w:val="none" w:sz="0" w:space="0" w:color="auto" w:frame="1"/>
          <w:lang w:val="en-SG"/>
          <w14:ligatures w14:val="none"/>
        </w:rPr>
        <w:t>Standard Language to Insert:</w:t>
      </w:r>
      <w:r w:rsidRPr="00FF0336">
        <w:rPr>
          <w:rFonts w:ascii="Arial" w:eastAsia="Times New Roman" w:hAnsi="Arial" w:cs="Arial"/>
          <w:color w:val="1F1F1F"/>
          <w:kern w:val="0"/>
          <w:lang w:val="en-SG"/>
          <w14:ligatures w14:val="none"/>
        </w:rPr>
        <w:t xml:space="preserve"> "The Restraint Period shall be for twelve (12) months; but if a court of competent jurisdiction determines that period is unenforceable, then it shall be six (6) months; and if that is unenforceable, then three (3) months."</w:t>
      </w:r>
    </w:p>
    <w:p w14:paraId="1601C699" w14:textId="77777777" w:rsidR="00FF0336" w:rsidRDefault="00FF0336" w:rsidP="00FF0336">
      <w:pPr>
        <w:spacing w:after="0" w:line="240" w:lineRule="auto"/>
        <w:ind w:left="1440"/>
        <w:rPr>
          <w:rFonts w:ascii="Arial" w:eastAsia="Times New Roman" w:hAnsi="Arial" w:cs="Arial"/>
          <w:color w:val="1F1F1F"/>
          <w:kern w:val="0"/>
          <w:lang w:val="en-SG"/>
          <w14:ligatures w14:val="none"/>
        </w:rPr>
      </w:pPr>
    </w:p>
    <w:p w14:paraId="461474E6" w14:textId="77777777" w:rsidR="00FF0336" w:rsidRDefault="00FF0336" w:rsidP="00FF0336">
      <w:pPr>
        <w:spacing w:after="0" w:line="240" w:lineRule="auto"/>
        <w:ind w:left="1440"/>
        <w:rPr>
          <w:rFonts w:ascii="Arial" w:eastAsia="Times New Roman" w:hAnsi="Arial" w:cs="Arial"/>
          <w:color w:val="1F1F1F"/>
          <w:kern w:val="0"/>
          <w:lang w:val="en-SG"/>
          <w14:ligatures w14:val="none"/>
        </w:rPr>
      </w:pPr>
    </w:p>
    <w:p w14:paraId="2CC63836" w14:textId="77777777" w:rsidR="00FF0336" w:rsidRPr="00FF0336" w:rsidRDefault="00FF0336" w:rsidP="00FF0336">
      <w:pPr>
        <w:spacing w:after="0" w:line="240" w:lineRule="auto"/>
        <w:ind w:left="1440"/>
        <w:rPr>
          <w:rFonts w:ascii="Arial" w:eastAsia="Times New Roman" w:hAnsi="Arial" w:cs="Arial"/>
          <w:color w:val="1F1F1F"/>
          <w:kern w:val="0"/>
          <w:lang w:val="en-SG"/>
          <w14:ligatures w14:val="none"/>
        </w:rPr>
      </w:pPr>
    </w:p>
    <w:p w14:paraId="5D2C8684" w14:textId="77777777" w:rsidR="00FF0336" w:rsidRPr="00FF0336" w:rsidRDefault="00FF0336" w:rsidP="00FF0336">
      <w:pPr>
        <w:spacing w:after="0" w:line="240" w:lineRule="auto"/>
        <w:outlineLvl w:val="2"/>
        <w:rPr>
          <w:rFonts w:ascii="Arial" w:eastAsia="Times New Roman" w:hAnsi="Arial" w:cs="Arial"/>
          <w:b/>
          <w:bCs/>
          <w:color w:val="1F1F1F"/>
          <w:kern w:val="0"/>
          <w:sz w:val="27"/>
          <w:szCs w:val="27"/>
          <w:lang w:val="en-SG"/>
          <w14:ligatures w14:val="none"/>
        </w:rPr>
      </w:pPr>
      <w:r w:rsidRPr="00FF0336">
        <w:rPr>
          <w:rFonts w:ascii="Arial" w:eastAsia="Times New Roman" w:hAnsi="Arial" w:cs="Arial"/>
          <w:b/>
          <w:bCs/>
          <w:color w:val="1F1F1F"/>
          <w:kern w:val="0"/>
          <w:sz w:val="27"/>
          <w:szCs w:val="27"/>
          <w:lang w:val="en-SG"/>
          <w14:ligatures w14:val="none"/>
        </w:rPr>
        <w:lastRenderedPageBreak/>
        <w:t>4. Negotiation Fallbacks for Associates</w:t>
      </w:r>
    </w:p>
    <w:p w14:paraId="103152DE"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t>If opposing counsel pushes back on the standard restraints, adhere to the following fallback matrix:</w:t>
      </w:r>
    </w:p>
    <w:p w14:paraId="4F44CB1D" w14:textId="77777777" w:rsidR="00FF0336" w:rsidRPr="00FF0336" w:rsidRDefault="00FF0336" w:rsidP="00FF0336">
      <w:p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color w:val="1F1F1F"/>
          <w:kern w:val="0"/>
          <w:lang w:val="en-SG"/>
          <w14:ligatures w14:val="none"/>
        </w:rPr>
        <w:br/>
      </w:r>
    </w:p>
    <w:p w14:paraId="1D3107C8" w14:textId="77777777" w:rsidR="00FF0336" w:rsidRPr="00FF0336" w:rsidRDefault="00FF0336" w:rsidP="00FF0336">
      <w:pPr>
        <w:numPr>
          <w:ilvl w:val="0"/>
          <w:numId w:val="2"/>
        </w:num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Challenge to Geography:</w:t>
      </w:r>
      <w:r w:rsidRPr="00FF0336">
        <w:rPr>
          <w:rFonts w:ascii="Arial" w:eastAsia="Times New Roman" w:hAnsi="Arial" w:cs="Arial"/>
          <w:color w:val="1F1F1F"/>
          <w:kern w:val="0"/>
          <w:lang w:val="en-SG"/>
          <w14:ligatures w14:val="none"/>
        </w:rPr>
        <w:t xml:space="preserve"> If they refuse the ASEAN-wide restriction, concede to limiting it only to countries where the executive had "direct operational involvement," but never agree to limit it solely to Singapore for a C-suite hire.</w:t>
      </w:r>
    </w:p>
    <w:p w14:paraId="7D043AE0" w14:textId="77777777" w:rsidR="00FF0336" w:rsidRPr="00FF0336" w:rsidRDefault="00FF0336" w:rsidP="00FF0336">
      <w:pPr>
        <w:spacing w:after="0" w:line="240" w:lineRule="auto"/>
        <w:ind w:left="720"/>
        <w:rPr>
          <w:rFonts w:ascii="Arial" w:eastAsia="Times New Roman" w:hAnsi="Arial" w:cs="Arial"/>
          <w:color w:val="1F1F1F"/>
          <w:kern w:val="0"/>
          <w:lang w:val="en-SG"/>
          <w14:ligatures w14:val="none"/>
        </w:rPr>
      </w:pPr>
    </w:p>
    <w:p w14:paraId="26539E8F" w14:textId="77777777" w:rsidR="00FF0336" w:rsidRPr="00FF0336" w:rsidRDefault="00FF0336" w:rsidP="00FF0336">
      <w:pPr>
        <w:numPr>
          <w:ilvl w:val="0"/>
          <w:numId w:val="2"/>
        </w:num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Challenge to Duration:</w:t>
      </w:r>
      <w:r w:rsidRPr="00FF0336">
        <w:rPr>
          <w:rFonts w:ascii="Arial" w:eastAsia="Times New Roman" w:hAnsi="Arial" w:cs="Arial"/>
          <w:color w:val="1F1F1F"/>
          <w:kern w:val="0"/>
          <w:lang w:val="en-SG"/>
          <w14:ligatures w14:val="none"/>
        </w:rPr>
        <w:t xml:space="preserve"> Hold firm on the 12-month initial period. If they threaten to break the deal, point to the cascading clause and argue that the "severability mechanism" already provides legal safety and fairness. Do not drop the top-line duration below 6 months.</w:t>
      </w:r>
    </w:p>
    <w:p w14:paraId="70F69F1A" w14:textId="77777777" w:rsidR="00FF0336" w:rsidRPr="00FF0336" w:rsidRDefault="00FF0336" w:rsidP="00FF0336">
      <w:pPr>
        <w:spacing w:after="0" w:line="240" w:lineRule="auto"/>
        <w:ind w:left="720"/>
        <w:rPr>
          <w:rFonts w:ascii="Arial" w:eastAsia="Times New Roman" w:hAnsi="Arial" w:cs="Arial"/>
          <w:color w:val="1F1F1F"/>
          <w:kern w:val="0"/>
          <w:lang w:val="en-SG"/>
          <w14:ligatures w14:val="none"/>
        </w:rPr>
      </w:pPr>
    </w:p>
    <w:p w14:paraId="40428967" w14:textId="77777777" w:rsidR="00FF0336" w:rsidRPr="00FF0336" w:rsidRDefault="00FF0336" w:rsidP="00FF0336">
      <w:pPr>
        <w:numPr>
          <w:ilvl w:val="0"/>
          <w:numId w:val="2"/>
        </w:numPr>
        <w:spacing w:after="0" w:line="240" w:lineRule="auto"/>
        <w:rPr>
          <w:rFonts w:ascii="Arial" w:eastAsia="Times New Roman" w:hAnsi="Arial" w:cs="Arial"/>
          <w:color w:val="1F1F1F"/>
          <w:kern w:val="0"/>
          <w:lang w:val="en-SG"/>
          <w14:ligatures w14:val="none"/>
        </w:rPr>
      </w:pPr>
      <w:r w:rsidRPr="00FF0336">
        <w:rPr>
          <w:rFonts w:ascii="Arial" w:eastAsia="Times New Roman" w:hAnsi="Arial" w:cs="Arial"/>
          <w:b/>
          <w:bCs/>
          <w:color w:val="1F1F1F"/>
          <w:kern w:val="0"/>
          <w:bdr w:val="none" w:sz="0" w:space="0" w:color="auto" w:frame="1"/>
          <w:lang w:val="en-SG"/>
          <w14:ligatures w14:val="none"/>
        </w:rPr>
        <w:t>Challenge to Justification:</w:t>
      </w:r>
      <w:r w:rsidRPr="00FF0336">
        <w:rPr>
          <w:rFonts w:ascii="Arial" w:eastAsia="Times New Roman" w:hAnsi="Arial" w:cs="Arial"/>
          <w:color w:val="1F1F1F"/>
          <w:kern w:val="0"/>
          <w:lang w:val="en-SG"/>
          <w14:ligatures w14:val="none"/>
        </w:rPr>
        <w:t xml:space="preserve"> If opposing counsel argues the Non-Compete is just an anti-competitive penalty, reiterate that it is structurally impossible to police their client's use of our client's Confidential Information once they join a competitor, thus making the Non-Compete a reasonable necessity.</w:t>
      </w:r>
    </w:p>
    <w:p w14:paraId="2203F603" w14:textId="77777777" w:rsidR="0068046C" w:rsidRPr="00FF0336" w:rsidRDefault="0068046C">
      <w:pPr>
        <w:rPr>
          <w:lang w:val="en-SG"/>
        </w:rPr>
      </w:pPr>
    </w:p>
    <w:sectPr w:rsidR="0068046C" w:rsidRPr="00FF0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07D68"/>
    <w:multiLevelType w:val="multilevel"/>
    <w:tmpl w:val="91D03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713E0"/>
    <w:multiLevelType w:val="multilevel"/>
    <w:tmpl w:val="4DA8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56619">
    <w:abstractNumId w:val="0"/>
  </w:num>
  <w:num w:numId="2" w16cid:durableId="884289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36"/>
    <w:rsid w:val="00347A9E"/>
    <w:rsid w:val="0054159F"/>
    <w:rsid w:val="00613DE4"/>
    <w:rsid w:val="00662848"/>
    <w:rsid w:val="0068046C"/>
    <w:rsid w:val="009220E2"/>
    <w:rsid w:val="00982917"/>
    <w:rsid w:val="009D3F41"/>
    <w:rsid w:val="00AD54A4"/>
    <w:rsid w:val="00E051D4"/>
    <w:rsid w:val="00F63BAF"/>
    <w:rsid w:val="00FF033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8F9265"/>
  <w15:chartTrackingRefBased/>
  <w15:docId w15:val="{36797885-8FAA-B340-BAC3-CA413449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F0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0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33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FF033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F033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F033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F033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F033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F033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F033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F033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F0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33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F0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33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F0336"/>
    <w:pPr>
      <w:spacing w:before="160"/>
      <w:jc w:val="center"/>
    </w:pPr>
    <w:rPr>
      <w:i/>
      <w:iCs/>
      <w:color w:val="404040" w:themeColor="text1" w:themeTint="BF"/>
    </w:rPr>
  </w:style>
  <w:style w:type="character" w:customStyle="1" w:styleId="QuoteChar">
    <w:name w:val="Quote Char"/>
    <w:basedOn w:val="DefaultParagraphFont"/>
    <w:link w:val="Quote"/>
    <w:uiPriority w:val="29"/>
    <w:rsid w:val="00FF0336"/>
    <w:rPr>
      <w:i/>
      <w:iCs/>
      <w:color w:val="404040" w:themeColor="text1" w:themeTint="BF"/>
      <w:lang w:val="en-GB"/>
    </w:rPr>
  </w:style>
  <w:style w:type="paragraph" w:styleId="ListParagraph">
    <w:name w:val="List Paragraph"/>
    <w:basedOn w:val="Normal"/>
    <w:uiPriority w:val="34"/>
    <w:qFormat/>
    <w:rsid w:val="00FF0336"/>
    <w:pPr>
      <w:ind w:left="720"/>
      <w:contextualSpacing/>
    </w:pPr>
  </w:style>
  <w:style w:type="character" w:styleId="IntenseEmphasis">
    <w:name w:val="Intense Emphasis"/>
    <w:basedOn w:val="DefaultParagraphFont"/>
    <w:uiPriority w:val="21"/>
    <w:qFormat/>
    <w:rsid w:val="00FF0336"/>
    <w:rPr>
      <w:i/>
      <w:iCs/>
      <w:color w:val="0F4761" w:themeColor="accent1" w:themeShade="BF"/>
    </w:rPr>
  </w:style>
  <w:style w:type="paragraph" w:styleId="IntenseQuote">
    <w:name w:val="Intense Quote"/>
    <w:basedOn w:val="Normal"/>
    <w:next w:val="Normal"/>
    <w:link w:val="IntenseQuoteChar"/>
    <w:uiPriority w:val="30"/>
    <w:qFormat/>
    <w:rsid w:val="00FF0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336"/>
    <w:rPr>
      <w:i/>
      <w:iCs/>
      <w:color w:val="0F4761" w:themeColor="accent1" w:themeShade="BF"/>
      <w:lang w:val="en-GB"/>
    </w:rPr>
  </w:style>
  <w:style w:type="character" w:styleId="IntenseReference">
    <w:name w:val="Intense Reference"/>
    <w:basedOn w:val="DefaultParagraphFont"/>
    <w:uiPriority w:val="32"/>
    <w:qFormat/>
    <w:rsid w:val="00FF0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YEO Jun Zhe</dc:creator>
  <cp:keywords/>
  <dc:description/>
  <cp:lastModifiedBy>Ethan YEO Jun Zhe</cp:lastModifiedBy>
  <cp:revision>1</cp:revision>
  <dcterms:created xsi:type="dcterms:W3CDTF">2026-09-05T13:08:00Z</dcterms:created>
  <dcterms:modified xsi:type="dcterms:W3CDTF">2026-09-05T13:09:00Z</dcterms:modified>
</cp:coreProperties>
</file>