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18"/>
        </w:rPr>
        <w:t>INTERNAL PRECEDENT - FICTIONAL SAMPLE</w:t>
      </w:r>
    </w:p>
    <w:p>
      <w:pPr>
        <w:pStyle w:val="Title"/>
        <w:jc w:val="center"/>
      </w:pPr>
      <w:r>
        <w:t>Cloud &amp; IT Outsourcing Agreement</w:t>
      </w:r>
    </w:p>
    <w:p>
      <w:pPr>
        <w:jc w:val="center"/>
      </w:pPr>
      <w:r>
        <w:rPr>
          <w:i/>
        </w:rPr>
        <w:t>Client precedent: LionCity Essential Services Pte. Ltd. / NimbusCloud Asia Pte. Ltd.</w:t>
      </w:r>
    </w:p>
    <w:p>
      <w:r>
        <w:t>Prepared as a fictional law-firm database precedent. Based only on the uploaded Cybersecurity Act 2018, 2020 Revised Edition, informal consolidation in force from 11 April 2022. It does not incorporate later legislative amendments or external codes, regulations, directions or sector-specific requirements.</w:t>
      </w:r>
    </w:p>
    <w:p>
      <w:r>
        <w:t>Matter No.: TMT-2022-041 | Practice: Technology / Cybersecurity | Jurisdiction: Singapore | Status: Negotiated Draft</w:t>
      </w:r>
    </w:p>
    <w:p>
      <w:pPr>
        <w:pStyle w:val="Heading1"/>
      </w:pPr>
      <w:r>
        <w:t>Parties and Background</w:t>
      </w:r>
    </w:p>
    <w:p>
      <w:r>
        <w:t>This Agreement is made between LionCity Essential Services Pte. Ltd. (the “Customer”) and NimbusCloud Asia Pte. Ltd. (the “Provider”). The Customer operates computer systems supporting an essential service and may own or operate systems designated as critical information infrastructure (“CII”). The Provider will host, manage and support specified cloud infrastructure, applications, backups and related IT services.</w:t>
      </w:r>
    </w:p>
    <w:p>
      <w:pPr>
        <w:pStyle w:val="Heading1"/>
      </w:pPr>
      <w:r>
        <w:t>1. Services and Scope</w:t>
      </w:r>
    </w:p>
    <w:p>
      <w:r>
        <w:t>1.1 The Provider shall provide the Services described in Schedule 1, including cloud hosting, managed infrastructure, backup, disaster recovery, service desk and security support.</w:t>
      </w:r>
    </w:p>
    <w:p>
      <w:r>
        <w:t>1.2 No transfer, outsourcing, cloud migration or subcontracting changes the Customer’s legal status or statutory responsibilities as owner of any CII. The Provider shall cooperate so that the Customer can discharge obligations imposed on it under applicable cybersecurity law.</w:t>
      </w:r>
    </w:p>
    <w:p>
      <w:pPr>
        <w:pStyle w:val="Heading1"/>
      </w:pPr>
      <w:r>
        <w:t>2. Cybersecurity Controls</w:t>
      </w:r>
    </w:p>
    <w:p>
      <w:pPr>
        <w:pStyle w:val="ListBullet"/>
      </w:pPr>
      <w:r>
        <w:t>Maintain administrative, technical and operational controls designed to preserve availability and operation of systems and the integrity and confidentiality of information.</w:t>
      </w:r>
    </w:p>
    <w:p>
      <w:pPr>
        <w:pStyle w:val="ListBullet"/>
      </w:pPr>
      <w:r>
        <w:t>Maintain asset inventories, privileged-access controls, logging, vulnerability management, malware protection, patching, backup and recovery arrangements appropriate to the Services.</w:t>
      </w:r>
    </w:p>
    <w:p>
      <w:pPr>
        <w:pStyle w:val="ListBullet"/>
      </w:pPr>
      <w:r>
        <w:t>Segregate Customer environments from other customers and restrict access to personnel with a documented need to know.</w:t>
      </w:r>
    </w:p>
    <w:p>
      <w:pPr>
        <w:pStyle w:val="ListBullet"/>
      </w:pPr>
      <w:r>
        <w:t>Do not materially alter the design, configuration, security or operation of systems supporting CII without prior written notice and Customer approval, except for emergency changes necessary to contain an incident.</w:t>
      </w:r>
    </w:p>
    <w:p>
      <w:pPr>
        <w:pStyle w:val="Heading1"/>
      </w:pPr>
      <w:r>
        <w:t>3. Regulatory Information and Cooperation</w:t>
      </w:r>
    </w:p>
    <w:p>
      <w:r>
        <w:t>3.1 The Provider shall maintain current technical documentation sufficient to describe the design, configuration, security and operation of the Services and any interconnections with Customer systems.</w:t>
      </w:r>
    </w:p>
    <w:p>
      <w:r>
        <w:t>3.2 On request, the Provider shall promptly supply information reasonably required for the Customer to respond to a lawful request by the Commissioner of Cybersecurity, including information concerning system design, configuration, security, operation and interconnections.</w:t>
      </w:r>
    </w:p>
    <w:p>
      <w:r>
        <w:t>3.3 Contractual confidentiality shall not be relied on to prevent the Customer from making a disclosure that the Customer is legally required to make. The Customer shall, where lawful and practicable, limit disclosure to what is required.</w:t>
      </w:r>
    </w:p>
    <w:p>
      <w:pPr>
        <w:pStyle w:val="Heading1"/>
      </w:pPr>
      <w:r>
        <w:t>4. Material Changes</w:t>
      </w:r>
    </w:p>
    <w:p>
      <w:r>
        <w:t>The Provider shall notify the Customer before any material change that affects or may affect cybersecurity, incident response capability, architecture, hosting location, identity controls, network interconnections, subcontractors with privileged access, or security operations. The Provider shall provide enough detail for the Customer to assess whether notification to the Commissioner is required.</w:t>
      </w:r>
    </w:p>
    <w:p>
      <w:pPr>
        <w:pStyle w:val="Heading1"/>
      </w:pPr>
      <w:r>
        <w:t>5. Cybersecurity Incident Management</w:t>
      </w:r>
    </w:p>
    <w:p>
      <w:r>
        <w:t>5.1 The Provider shall maintain mechanisms and processes to detect cybersecurity threats and incidents affecting the Services.</w:t>
      </w:r>
    </w:p>
    <w:p>
      <w:r>
        <w:t>5.2 The Provider shall notify the Customer Security Operations Centre immediately, and in any event within 30 minutes of confirmation, of any suspected or actual cybersecurity incident that affects or may affect Customer systems, connected systems or information. This contractual 30-minute period is an internal escalation target and is not stated as the statutory reporting period in the uploaded Act.</w:t>
      </w:r>
    </w:p>
    <w:p>
      <w:r>
        <w:t>5.3 The notice shall include, to the extent known: affected systems; time detected; nature and likely impact; indicators of compromise; containment taken; data affected; interconnections implicated; and a named incident lead.</w:t>
      </w:r>
    </w:p>
    <w:p>
      <w:r>
        <w:t>5.4 The Provider shall preserve logs and evidence, assist investigation, perform reasonable remedial measures, and support any lawful regulatory investigation or direction.</w:t>
      </w:r>
    </w:p>
    <w:p>
      <w:pPr>
        <w:pStyle w:val="Heading1"/>
      </w:pPr>
      <w:r>
        <w:t>6. Audit, Risk Assessment and Testing</w:t>
      </w:r>
    </w:p>
    <w:p>
      <w:r>
        <w:t>The Provider shall provide access, records and reasonable assistance required for cybersecurity audits and risk assessments concerning Customer CII. It shall remediate findings within agreed risk-based periods. The Provider acknowledges that the Act requires CII owners to arrange compliance audits at least once every two years and conduct cybersecurity risk assessments at least annually, subject to any higher frequency directed by the Commissioner.</w:t>
      </w:r>
    </w:p>
    <w:p>
      <w:pPr>
        <w:pStyle w:val="Heading1"/>
      </w:pPr>
      <w:r>
        <w:t>7. Regulatory Directions and Exercises</w:t>
      </w:r>
    </w:p>
    <w:p>
      <w:r>
        <w:t>The Provider shall comply with Customer instructions reasonably necessary to enable compliance with an applicable code of practice, standard of performance, written direction, cybersecurity exercise or lawful incident-response requirement.</w:t>
      </w:r>
    </w:p>
    <w:p>
      <w:pPr>
        <w:pStyle w:val="Heading1"/>
      </w:pPr>
      <w:r>
        <w:t>8. Cybersecurity Service Licensing</w:t>
      </w:r>
    </w:p>
    <w:p>
      <w:r>
        <w:t>Where the Provider or a subcontractor supplies a licensable cybersecurity service, it warrants that the relevant service is provided under any licence required by the Act. The parties shall specifically verify licensing where the service includes managed SOC monitoring or penetration testing.</w:t>
      </w:r>
    </w:p>
    <w:p>
      <w:pPr>
        <w:pStyle w:val="Heading1"/>
      </w:pPr>
      <w:r>
        <w:t>9. Subcontractors</w:t>
      </w:r>
    </w:p>
    <w:p>
      <w:r>
        <w:t>The Provider remains responsible for subcontracted Services. Before appointing a material subcontractor, it shall conduct security due diligence, impose written cybersecurity and incident-cooperation obligations no less protective than this Agreement, and maintain an up-to-date subcontractor register.</w:t>
      </w:r>
    </w:p>
    <w:p>
      <w:pPr>
        <w:pStyle w:val="Heading1"/>
      </w:pPr>
      <w:r>
        <w:t>10. Business Continuity and Exit</w:t>
      </w:r>
    </w:p>
    <w:p>
      <w:r>
        <w:t>The Provider shall maintain tested recovery arrangements. On expiry or termination it shall provide transition assistance, return or securely delete Customer information as directed, preserve required regulatory records, and avoid any action that would materially impair continuity of an essential service.</w:t>
      </w:r>
    </w:p>
    <w:p>
      <w:pPr>
        <w:pStyle w:val="Heading1"/>
      </w:pPr>
      <w:r>
        <w:t>Schedule 1 - Services</w:t>
      </w:r>
    </w:p>
    <w:tbl>
      <w:tblPr>
        <w:tblStyle w:val="TableGrid"/>
        <w:tblW w:type="auto" w:w="0"/>
        <w:jc w:val="center"/>
        <w:tblLook w:firstColumn="1" w:firstRow="1" w:lastColumn="0" w:lastRow="0" w:noHBand="0" w:noVBand="1" w:val="04A0"/>
      </w:tblPr>
      <w:tblGrid>
        <w:gridCol w:w="3360"/>
        <w:gridCol w:w="3360"/>
        <w:gridCol w:w="3360"/>
      </w:tblGrid>
      <w:tr>
        <w:trPr>
          <w:tblHeader w:val="true"/>
          <w:tblHeader w:val="true"/>
          <w:tblHeader w:val="true"/>
        </w:trPr>
        <w:tc>
          <w:tcPr>
            <w:tcW w:type="dxa" w:w="3360"/>
            <w:shd w:fill="D9EAF7"/>
          </w:tcPr>
          <w:p>
            <w:r>
              <w:t>Service</w:t>
            </w:r>
          </w:p>
        </w:tc>
        <w:tc>
          <w:tcPr>
            <w:tcW w:type="dxa" w:w="3360"/>
            <w:shd w:fill="D9EAF7"/>
          </w:tcPr>
          <w:p>
            <w:r>
              <w:t>Scope</w:t>
            </w:r>
          </w:p>
        </w:tc>
        <w:tc>
          <w:tcPr>
            <w:tcW w:type="dxa" w:w="3360"/>
            <w:shd w:fill="D9EAF7"/>
          </w:tcPr>
          <w:p>
            <w:r>
              <w:t>Criticality</w:t>
            </w:r>
          </w:p>
        </w:tc>
      </w:tr>
      <w:tr>
        <w:tc>
          <w:tcPr>
            <w:tcW w:type="dxa" w:w="3360"/>
          </w:tcPr>
          <w:p>
            <w:r>
              <w:t>Cloud hosting</w:t>
            </w:r>
          </w:p>
        </w:tc>
        <w:tc>
          <w:tcPr>
            <w:tcW w:type="dxa" w:w="3360"/>
          </w:tcPr>
          <w:p>
            <w:r>
              <w:t>Production application and database hosting</w:t>
            </w:r>
          </w:p>
        </w:tc>
        <w:tc>
          <w:tcPr>
            <w:tcW w:type="dxa" w:w="3360"/>
          </w:tcPr>
          <w:p>
            <w:r>
              <w:t>High</w:t>
            </w:r>
          </w:p>
        </w:tc>
      </w:tr>
      <w:tr>
        <w:tc>
          <w:tcPr>
            <w:tcW w:type="dxa" w:w="3360"/>
          </w:tcPr>
          <w:p>
            <w:r>
              <w:t>Backup / recovery</w:t>
            </w:r>
          </w:p>
        </w:tc>
        <w:tc>
          <w:tcPr>
            <w:tcW w:type="dxa" w:w="3360"/>
          </w:tcPr>
          <w:p>
            <w:r>
              <w:t>Encrypted backups and recovery orchestration</w:t>
            </w:r>
          </w:p>
        </w:tc>
        <w:tc>
          <w:tcPr>
            <w:tcW w:type="dxa" w:w="3360"/>
          </w:tcPr>
          <w:p>
            <w:r>
              <w:t>High</w:t>
            </w:r>
          </w:p>
        </w:tc>
      </w:tr>
      <w:tr>
        <w:tc>
          <w:tcPr>
            <w:tcW w:type="dxa" w:w="3360"/>
          </w:tcPr>
          <w:p>
            <w:r>
              <w:t>Managed infrastructure</w:t>
            </w:r>
          </w:p>
        </w:tc>
        <w:tc>
          <w:tcPr>
            <w:tcW w:type="dxa" w:w="3360"/>
          </w:tcPr>
          <w:p>
            <w:r>
              <w:t>OS, network and platform administration</w:t>
            </w:r>
          </w:p>
        </w:tc>
        <w:tc>
          <w:tcPr>
            <w:tcW w:type="dxa" w:w="3360"/>
          </w:tcPr>
          <w:p>
            <w:r>
              <w:t>High</w:t>
            </w:r>
          </w:p>
        </w:tc>
      </w:tr>
      <w:tr>
        <w:tc>
          <w:tcPr>
            <w:tcW w:type="dxa" w:w="3360"/>
          </w:tcPr>
          <w:p>
            <w:r>
              <w:t>Security support</w:t>
            </w:r>
          </w:p>
        </w:tc>
        <w:tc>
          <w:tcPr>
            <w:tcW w:type="dxa" w:w="3360"/>
          </w:tcPr>
          <w:p>
            <w:r>
              <w:t>Logging, alert triage and incident coordination</w:t>
            </w:r>
          </w:p>
        </w:tc>
        <w:tc>
          <w:tcPr>
            <w:tcW w:type="dxa" w:w="3360"/>
          </w:tcPr>
          <w:p>
            <w:r>
              <w:t>High</w:t>
            </w:r>
          </w:p>
        </w:tc>
      </w:tr>
    </w:tbl>
    <w:p>
      <w:pPr>
        <w:pStyle w:val="Heading1"/>
      </w:pPr>
      <w:r>
        <w:t>Source Basis</w:t>
      </w:r>
    </w:p>
    <w:p>
      <w:r>
        <w:t>This precedent is drafted against the uploaded Cybersecurity Act 2018. Key statutory anchors used are: ss 10-12 (information, codes/standards and directions); s 14 (incident reporting and detection); s 15 (audits and risk assessments); ss 19-20 (incident-response powers); Part 5 and Second Schedule (licensable cybersecurity services). Where the Act refers to prescribed forms, periods, applicable codes of practice, standards of performance or written directions, this precedent requires verification rather than inventing those details.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Fictional precedent | Cybersecurity Act 2018 (2020 Rev Ed)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