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Employee handbook</w:t>
      </w:r>
    </w:p>
    <w:p>
      <w:r>
        <w:t xml:space="preserve">This handbook summarises the retirement arrangements used by the firm.</w:t>
      </w:r>
    </w:p>
    <w:p>
      <w:r>
        <w:t xml:space="preserve">The statutory retirement age is 63.</w:t>
      </w:r>
    </w:p>
    <w:p>
      <w:r>
        <w:t xml:space="preserve">Before 1 July 2026, the statutory retirement age was 63.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Yonghuang test fixtures</dc:creator>
  <cp:lastModifiedBy>Un-named</cp:lastModifiedBy>
  <cp:revision>1</cp:revision>
  <dcterms:created xsi:type="dcterms:W3CDTF">2026-09-05T14:02:40.800Z</dcterms:created>
  <dcterms:modified xsi:type="dcterms:W3CDTF">2026-09-05T14:02:40.801Z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