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4"/>
          <w:szCs w:val="24"/>
        </w:rPr>
        <w:t xml:space="preserve">Employment (Amendment) Act 2026 — Minimum Notice Period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Change in law: Section 12 of the Employment Act is amended to raise the prescribed minimum notice period for termination of a confirmed employee's contract of service from one (1) month to two (2) months. The amendment takes effect on 1 October 2026 and applies to all employees confirmed in their position as of that date.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Description: The amendment follows the Ministry of Manpower's 2026 Fair Employment review, which found that a one-month notice period was insufficient for employees to secure alternative employment in the current labour market. Employers should audit all employment agreements, offer letter templates, and HR playbooks that state a one-month notice period and update them to reflect the new two-month statutory minimum before the effective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2026-09-05T17:58:12.100Z</dcterms:created>
  <dcterms:modified xsi:type="dcterms:W3CDTF">2026-09-05T17:58:12.100Z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