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Cybersecurity (Amendment) Act 2024 — Audit and Incident Reporting Deadlines</w:t>
      </w:r>
    </w:p>
    <w:p>
      <w:r>
        <w:t xml:space="preserve"/>
      </w:r>
    </w:p>
    <w:p>
      <w:r>
        <w:t xml:space="preserve">Change in law: The deadline for furnishing a copy of an audit report or cybersecurity risk assessment to the Commissioner is reduced from thirty (30) days to fourteen (14) days after the report is received. The same fourteen (14) day deadline applies to notifying the Commissioner of a material change.</w:t>
      </w:r>
    </w:p>
    <w:p>
      <w:r>
        <w:t xml:space="preserve"/>
      </w:r>
    </w:p>
    <w:p>
      <w:r>
        <w:t xml:space="preserve">Description: Act 19 of 2024 introduces Part 3A and sections 16A to 16K, extending the Cybersecurity Act 2018 to designated providers responsible for third-party-owned critical information infrastructure. Section 16J(5) requires that a provider must, not later than 14 days after receiving from the owner a report of an audit or a cybersecurity risk assessment, furnish a copy of that report to the Commissioner. Firm precedents and compliance manuals drafted against the pre-amendment 30-day position are now out of step with the Act.</w:t>
      </w:r>
    </w:p>
    <w:p>
      <w:r>
        <w:t xml:space="preserve"/>
      </w:r>
    </w:p>
    <w:p>
      <w:r>
        <w:t xml:space="preserve">Effective date: 1 January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Regulatory horizon scanning</dc:creator>
  <cp:lastModifiedBy>Un-named</cp:lastModifiedBy>
  <cp:revision>1</cp:revision>
  <dcterms:created xsi:type="dcterms:W3CDTF">2026-09-06T02:29:12.179Z</dcterms:created>
  <dcterms:modified xsi:type="dcterms:W3CDTF">2026-09-06T02:29:12.180Z</dcterms:modified>
</cp:coreProperties>
</file>

<file path=docProps/custom.xml><?xml version="1.0" encoding="utf-8"?>
<Properties xmlns="http://schemas.openxmlformats.org/officeDocument/2006/custom-properties" xmlns:vt="http://schemas.openxmlformats.org/officeDocument/2006/docPropsVTypes"/>
</file>