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82b07eaa0cdff4668ffae69f4dd9d8ad8579d4"/>
    <w:p>
      <w:pPr>
        <w:pStyle w:val="Heading1"/>
      </w:pPr>
      <w:r>
        <w:t xml:space="preserve">Конституционно-правовые гарантии защиты персональных и биометрических данных в условиях цифровой идентификации</w:t>
      </w:r>
    </w:p>
    <w:p>
      <w:pPr>
        <w:pStyle w:val="FirstParagraph"/>
      </w:pPr>
      <w:r>
        <w:t xml:space="preserve">Рабочий полный черновик дипломной работы.</w:t>
      </w:r>
    </w:p>
    <w:p>
      <w:pPr>
        <w:pStyle w:val="Compact"/>
        <w:numPr>
          <w:ilvl w:val="0"/>
          <w:numId w:val="1001"/>
        </w:numPr>
      </w:pPr>
      <w:r>
        <w:t xml:space="preserve">Вуз: ФГБОУ ВО «Северо-Осетинский государственный университет имени Коста Левановича Хетагурова»</w:t>
      </w:r>
    </w:p>
    <w:p>
      <w:pPr>
        <w:pStyle w:val="Compact"/>
        <w:numPr>
          <w:ilvl w:val="0"/>
          <w:numId w:val="1001"/>
        </w:numPr>
      </w:pPr>
      <w:r>
        <w:t xml:space="preserve">Программа: уточняется</w:t>
      </w:r>
    </w:p>
    <w:p>
      <w:pPr>
        <w:pStyle w:val="Compact"/>
        <w:numPr>
          <w:ilvl w:val="0"/>
          <w:numId w:val="1001"/>
        </w:numPr>
      </w:pPr>
      <w:r>
        <w:t xml:space="preserve">Научный руководитель: уточняется</w:t>
      </w:r>
    </w:p>
    <w:p>
      <w:pPr>
        <w:pStyle w:val="Compact"/>
        <w:numPr>
          <w:ilvl w:val="0"/>
          <w:numId w:val="1001"/>
        </w:numPr>
      </w:pPr>
      <w:r>
        <w:t xml:space="preserve">Дата сборки: обновляется автоматически при пересборке полного документа</w:t>
      </w:r>
    </w:p>
    <w:bookmarkEnd w:id="9"/>
    <w:bookmarkStart w:id="11" w:name="введение"/>
    <w:p>
      <w:pPr>
        <w:pStyle w:val="Heading1"/>
      </w:pPr>
      <w:r>
        <w:t xml:space="preserve">ВВЕДЕНИЕ</w:t>
      </w:r>
    </w:p>
    <w:p>
      <w:pPr>
        <w:pStyle w:val="FirstParagraph"/>
      </w:pPr>
      <w:r>
        <w:t xml:space="preserve">Финальный текст введения пока не написан.</w:t>
      </w:r>
    </w:p>
    <w:p>
      <w:pPr>
        <w:pStyle w:val="BodyText"/>
      </w:pPr>
      <w:r>
        <w:t xml:space="preserve">На текущем этапе существует только каркас введения в файле</w:t>
      </w:r>
      <w:r>
        <w:t xml:space="preserve"> </w:t>
      </w:r>
      <w:hyperlink r:id="rId10">
        <w:r>
          <w:rPr>
            <w:rStyle w:val="Hyperlink"/>
          </w:rPr>
          <w:t xml:space="preserve">00-introduction-framework.md</w:t>
        </w:r>
      </w:hyperlink>
      <w:r>
        <w:t xml:space="preserve">, потому что по методике работы и по требованиям ВКР введение должно уточняться после написания основных глав и заключения.</w:t>
      </w:r>
    </w:p>
    <w:bookmarkEnd w:id="11"/>
    <w:bookmarkStart w:id="66" w:name="X505178d553a8a7467fb62e0c37a014efa78e020"/>
    <w:p>
      <w:pPr>
        <w:pStyle w:val="Heading1"/>
      </w:pPr>
      <w:r>
        <w:t xml:space="preserve">ГЛАВА 1. ТЕОРЕТИКО-КОНСТИТУЦИОННЫЕ ОСНОВЫ ЗАЩИТЫ ПЕРСОНАЛЬНЫХ И БИОМЕТРИЧЕСКИХ ДАННЫХ В УСЛОВИЯХ ЦИФРОВОЙ ИДЕНТИФИКАЦИИ</w:t>
      </w:r>
    </w:p>
    <w:bookmarkStart w:id="26" w:name="Xb975700546d511e21d9cdfbca2df4d175487f32"/>
    <w:p>
      <w:pPr>
        <w:pStyle w:val="Heading2"/>
      </w:pPr>
      <w:r>
        <w:t xml:space="preserve">1.1. Конституционная природа защиты персональных данных</w:t>
      </w:r>
    </w:p>
    <w:p>
      <w:pPr>
        <w:pStyle w:val="FirstParagraph"/>
      </w:pPr>
      <w:r>
        <w:t xml:space="preserve">Защита персональных данных в современном праве уже не может рассматриваться как сугубо технический институт, связанный лишь с конфиденциальностью или информационной безопасностью.</w:t>
      </w:r>
      <w:r>
        <w:rPr>
          <w:rStyle w:val="FootnoteReference"/>
        </w:rPr>
        <w:footnoteReference w:id="12"/>
      </w:r>
      <w:r>
        <w:t xml:space="preserve"> </w:t>
      </w:r>
      <w:r>
        <w:t xml:space="preserve">В условиях цифровизации персональные данные стали одним из основных способов опосредования личности: через них человек идентифицируется в информационных системах, получает доступ к услугам, оценивается с точки зрения благонадежности, платежеспособности и социального статуса. Поэтому вопрос об их охране имеет прежде всего конституционно-правовое измерение. Конституция Российской Федерации не закрепляет специального, автономного права на защиту персональных данных, однако это не означает отсутствия конституционной основы их охраны. Такая основа выводится прежде всего из статей 23, 24 и 55 Конституции РФ, которые в единстве задают пределы допустимого обращения с информацией о личности.</w:t>
      </w:r>
      <w:r>
        <w:rPr>
          <w:rStyle w:val="FootnoteReference"/>
        </w:rPr>
        <w:footnoteReference w:id="13"/>
      </w:r>
    </w:p>
    <w:p>
      <w:pPr>
        <w:pStyle w:val="BodyText"/>
      </w:pPr>
      <w:r>
        <w:t xml:space="preserve">Конституционная природа защиты персональных данных проявляется в том, что объектом охраны выступает не информация сама по себе, а личность в ее автономии, достоинстве и свободе самоопределения. Персональные данные приобретают правовое значение постольку, поскольку позволяют идентифицировать человека, связать с ним действия, свойства и оценки и тем самым влиять на его положение в отношениях с государством и иными субъектами. Поэтому защита данных в конституционном смысле является конкретизацией права на неприкосновенность частной жизни. В цифровой среде это особенно заметно: даже разрозненные и внешне нейтральные сведения при автоматизированном сопоставлении способны раскрыть привычки, круг общения, маршруты передвижения и иные аспекты приватной сферы. Следовательно, конституционная охрана направлена не только против разглашения тайны, но и против системного вмешательства в пространство личной свободы.</w:t>
      </w:r>
    </w:p>
    <w:p>
      <w:pPr>
        <w:pStyle w:val="BodyText"/>
      </w:pPr>
      <w:r>
        <w:t xml:space="preserve">Первой опорной нормой выступает статья 23 Конституции РФ. В части 1 этой статьи закреплено право каждого на неприкосновенность частной жизни, личную и семейную тайну, защиту чести и доброго имени. Конституция охраняет не отдельный информационный фрагмент, а целостную сферу человеческого существования, в пределах которой личность вправе рассчитывать на самостоятельное определение того, какие сведения о ней станут доступными другим лицам. В конституционно-правовом смысле неприкосновенность частной жизни означает запрет произвольного вторжения в область жизнедеятельности человека, которая относится к нему самому и не подлежит контролю со стороны общества и государства, если его поведение правомерно. Именно так Конституционный Суд РФ раскрывает понятие частной жизни, не сводя его только к интимной либо семейно-бытовой сфере.</w:t>
      </w:r>
      <w:r>
        <w:rPr>
          <w:rStyle w:val="FootnoteReference"/>
        </w:rPr>
        <w:footnoteReference w:id="14"/>
      </w:r>
    </w:p>
    <w:p>
      <w:pPr>
        <w:pStyle w:val="BodyText"/>
      </w:pPr>
      <w:r>
        <w:t xml:space="preserve">В контексте защиты персональных данных статья 23 Конституции РФ имеет несколько измерений. Она утверждает ценность приватности как самостоятельного конституционного блага, не позволяя рассматривать сведения о человеке лишь как ресурс оборота или технический материал для работы платформ. Одновременно защита чести и доброго имени связывает обращение с данными не только с тайной, но и с риском искажения социального образа личности: устаревшие, неточные или вырванные из контекста данные способны причинить не меньший вред, чем их разглашение. В цифровую эпоху статья 23 распространяется и на формирование цифрового следа человека, поскольку именно через него возникают наблюдение, профилирование и поведенческое воздействие на субъекта.</w:t>
      </w:r>
    </w:p>
    <w:p>
      <w:pPr>
        <w:pStyle w:val="BodyText"/>
      </w:pPr>
      <w:r>
        <w:t xml:space="preserve">Особого внимания заслуживает часть 2 статьи 23 Конституции РФ, гарантирующая каждому тайну переписки, телефонных переговоров, почтовых, телеграфных и иных сообщений; ограничение этого права допускается только на основании судебного решения. Хотя данная норма прямо касается коммуникационной сферы, она имеет принципиальное значение и для общего понимания защиты данных. Конституция исходит из того, что каналы общения человека и сведения, возникающие в ходе коммуникации, обладают повышенной чувствительностью и потому требуют не только материально-правовых, но и процессуальных гарантий. В цифровой среде эта идея распространяется на электронную переписку, сведения о фактах коммуникации и иные данные, позволяющие реконструировать частную жизнь.</w:t>
      </w:r>
      <w:r>
        <w:rPr>
          <w:rStyle w:val="FootnoteReference"/>
        </w:rPr>
        <w:footnoteReference w:id="15"/>
      </w:r>
    </w:p>
    <w:p>
      <w:pPr>
        <w:pStyle w:val="BodyText"/>
      </w:pPr>
      <w:r>
        <w:t xml:space="preserve">Промежуточный вывод здесь состоит в том, что статья 23 Конституции РФ формирует ценностный фундамент защиты персональных данных. Она не употребляет термин</w:t>
      </w:r>
      <w:r>
        <w:t xml:space="preserve"> </w:t>
      </w:r>
      <w:r>
        <w:t xml:space="preserve">“персональные данные”</w:t>
      </w:r>
      <w:r>
        <w:t xml:space="preserve">, но именно из нее вытекает требование оберегать информационную автономию личности, ее право не быть объектом произвольного наблюдения и право на сохранение контроля над социально значимыми сведениями о себе. Поэтому любая последующая законодательная конкретизация защиты данных должна оцениваться с точки зрения того, насколько она реально обеспечивает неприкосновенность частной жизни, а не подменяет ее формальными процедурами согласия.</w:t>
      </w:r>
    </w:p>
    <w:p>
      <w:pPr>
        <w:pStyle w:val="BodyText"/>
      </w:pPr>
      <w:r>
        <w:t xml:space="preserve">Если статья 23 задает общий ценностный контур, то статья 24 Конституции РФ содержит прямую конституционную формулу обращения с информацией о частной жизни лица. В части 1 закреплено, что сбор, хранение, использование и распространение такой информации без согласия лица не допускаются. Конституция не ограничивается запретом на разглашение сведений, а перечисляет основные операции с информацией, тем самым фактически предвосхищая современную логику регулирования обработки персональных данных.</w:t>
      </w:r>
      <w:r>
        <w:rPr>
          <w:rStyle w:val="FootnoteReference"/>
        </w:rPr>
        <w:footnoteReference w:id="16"/>
      </w:r>
    </w:p>
    <w:p>
      <w:pPr>
        <w:pStyle w:val="BodyText"/>
      </w:pPr>
      <w:r>
        <w:t xml:space="preserve">Часть 1 статьи 24 Конституции РФ одновременно закрепляет и базовый принцип согласия. Однако согласие в конституционном смысле нельзя сводить к формальному нажатию кнопки или подписанию шаблонного документа. Оно предполагает свободное и осознанное волеизъявление лица, понимающего, какие сведения собираются, для какой цели и кем будут использоваться. В противном случае согласие превращается в фикцию, а гарантия статьи 24 утрачивает реальное содержание. В цифровой среде эта проблема особенно остра из-за неравенства между субъектом данных и оператором, сложности информационных экосистем и зависимости от базовых цифровых услуг.</w:t>
      </w:r>
    </w:p>
    <w:p>
      <w:pPr>
        <w:pStyle w:val="BodyText"/>
      </w:pPr>
      <w:r>
        <w:t xml:space="preserve">Не менее важна часть 2 статьи 24 Конституции РФ, обязывающая органы государственной власти и местного самоуправления обеспечить каждому возможность ознакомления с документами и материалами, непосредственно затрагивающими его права и свободы, если иное не предусмотрено законом. Ее значение шире обычной административной открытости. Норма закрепляет позитивную обязанность публичной власти обеспечивать прозрачность тех решений и массивов сведений, которые способны повлиять на правовое положение человека. Применительно к персональным данным это означает право знать, какие сведения собираются о лице, в каких системах они содержатся и какие правовые последствия влекут.</w:t>
      </w:r>
      <w:r>
        <w:rPr>
          <w:rStyle w:val="FootnoteReference"/>
        </w:rPr>
        <w:footnoteReference w:id="17"/>
      </w:r>
    </w:p>
    <w:p>
      <w:pPr>
        <w:pStyle w:val="BodyText"/>
      </w:pPr>
      <w:r>
        <w:t xml:space="preserve">В этом проявляется двусторонняя структура конституционной гарантии защиты данных. С одной стороны, частная жизнь охраняется от неправомерного вторжения; с другой стороны, личность наделяется правом требовать прозрачности тех информационных процессов, которые непосредственно влияют на ее права и свободы. Для цифровой идентификации это особенно важно, поскольку современные системы способны предопределять юридически значимые решения на основании сведений, недоступных непосредственному восприятию субъекта. Следовательно, статья 24 Конституции РФ служит источником не только принципа согласия, но и принципов информированности и подотчетности.</w:t>
      </w:r>
    </w:p>
    <w:p>
      <w:pPr>
        <w:pStyle w:val="BodyText"/>
      </w:pPr>
      <w:r>
        <w:t xml:space="preserve">Промежуточный вывод по статье 24 Конституции РФ заключается в том, что именно она задает наиболее близкую к современному праву персональных данных нормативную матрицу. Из нее выводятся требования законности операций с данными, необходимости согласия как общего правила, прозрачности публичных информационных решений и права субъекта на ознакомление с относящимися к нему материалами. Поэтому конституционная охрана данных не сводится к запрету разглашения: она включает контроль над жизненным циклом информации о личности.</w:t>
      </w:r>
    </w:p>
    <w:p>
      <w:pPr>
        <w:pStyle w:val="BodyText"/>
      </w:pPr>
      <w:r>
        <w:t xml:space="preserve">Завершающим элементом рассматриваемой конституционной конструкции выступает статья 55 Конституции РФ. Ее значение для защиты персональных данных определяется всеми тремя частями. Часть 1 закрепляет, что перечисление в Конституции основных прав и свобод не должно толковаться как отрицание или умаление других общепризнанных прав и свобод человека и гражданина. Тем самым статья 55 подтверждает открытый характер системы основных прав и допускает выведение из уже закрепленных свобод более конкретных гарантий, отвечающих современным условиям общественного развития. Часть 2 статьи 55 запрещает издавать законы, отменяющие или умаляющие права и свободы человека и гражданина. Наконец, часть 3 статьи 55 устанавливает стандарт: права и свободы могут быть ограничены только федеральным законом, только в конституционно значимых целях и только в той мере, в какой это необходимо.</w:t>
      </w:r>
      <w:r>
        <w:rPr>
          <w:rStyle w:val="FootnoteReference"/>
        </w:rPr>
        <w:footnoteReference w:id="18"/>
      </w:r>
    </w:p>
    <w:p>
      <w:pPr>
        <w:pStyle w:val="BodyText"/>
      </w:pPr>
      <w:r>
        <w:t xml:space="preserve">Для сферы персональных данных статья 55 Конституции РФ имеет значение универсального критерия допустимости вмешательства. Любая обработка сведений о частной жизни без согласия лица, любое обязательное раскрытие информации, любая государственная система идентификации либо мониторинга должны отвечать трем группам требований. Во-первых, должен существовать достаточно определенный федеральный закон, а не ведомственная практика, фактически подменяющая законодательное решение. Во-вторых, вмешательство должно преследовать легитимную конституционную цель. В-третьих, избранные средства должны быть необходимыми и соразмерными.</w:t>
      </w:r>
    </w:p>
    <w:p>
      <w:pPr>
        <w:pStyle w:val="BodyText"/>
      </w:pPr>
      <w:r>
        <w:t xml:space="preserve">Указанный стандарт особенно важен применительно к биометрическим данным и системам цифровой идентификации, хотя детальный анализ этих институтов будет дан далее. Уже на данном этапе необходимо отметить, что действующая редакция статьи 11 Федерального закона от 27.07.2006 N 152-ФЗ</w:t>
      </w:r>
      <w:r>
        <w:t xml:space="preserve"> </w:t>
      </w:r>
      <w:r>
        <w:t xml:space="preserve">“О персональных данных”</w:t>
      </w:r>
      <w:r>
        <w:t xml:space="preserve"> </w:t>
      </w:r>
      <w:r>
        <w:t xml:space="preserve">сохраняет письменное согласие как общее правило обработки биометрических персональных данных; без такого согласия обработка допускается лишь в случаях, прямо перечисленных в части 2 данной статьи, включая реализацию международных договоров о реадмиссии, осуществление правосудия и исполнение судебных актов, обязательную государственную дактилоскопическую и геномную регистрацию, а также случаи, предусмотренные законодательством об обороне, безопасности, противодействии терроризму, транспортной безопасности, оперативно-разыскной деятельности, миграционном учете и нотариате. Важно, что базовой нормой о биометрических персональных данных остается именно статья 11, тогда как статья 10.1 регулирует обработку персональных данных, разрешенных субъектом для распространения.</w:t>
      </w:r>
      <w:r>
        <w:rPr>
          <w:rStyle w:val="FootnoteReference"/>
        </w:rPr>
        <w:footnoteReference w:id="19"/>
      </w:r>
      <w:r>
        <w:t xml:space="preserve"> </w:t>
      </w:r>
      <w:r>
        <w:t xml:space="preserve">Специальный режим, установленный Федеральным законом от 29.12.2022 N 572-ФЗ в пределах его предмета регулирования для идентификации и аутентификации с использованием биометрических данных, не создает новую конституционную основу, а лишь конкретизирует уже существующие требования статей 23, 24 и 55 Конституции РФ.</w:t>
      </w:r>
      <w:r>
        <w:rPr>
          <w:rStyle w:val="FootnoteReference"/>
        </w:rPr>
        <w:footnoteReference w:id="20"/>
      </w:r>
    </w:p>
    <w:p>
      <w:pPr>
        <w:pStyle w:val="BodyText"/>
      </w:pPr>
      <w:r>
        <w:t xml:space="preserve">Конституционный Суд РФ в своей практике подтверждает именно такое понимание природы защиты данных. Наиболее значимым для настоящего исследования является Постановление от 25.05.2021 N 22-П, принятое по делу о проверке конституционности пункта 8 части 1 статьи 6 Федерального закона</w:t>
      </w:r>
      <w:r>
        <w:t xml:space="preserve"> </w:t>
      </w:r>
      <w:r>
        <w:t xml:space="preserve">“О персональных данных”</w:t>
      </w:r>
      <w:r>
        <w:t xml:space="preserve">. Хотя предметом рассмотрения была обработка персональных данных медицинского работника без его согласия в сетевом издании, правовые позиции Суда имеют более широкое значение. Конституционный Суд прямо указал, что статья 24 Конституции РФ не определяет исчерпывающим образом круг сведений, охватываемых правом на уважение частной жизни. Тем самым был подтвержден динамический характер конституционной охраны. Суд также подчеркнул, что персональные данные как исходное положение относятся к сведениям о частной жизни и подлежат конституционной защите наравне со свободой слова и свободой информации. Между этими правами не существует безусловного приоритета; необходим баланс, достигаемый с учетом общественного интереса, характера сведений, их актуальности и последствий для личности.</w:t>
      </w:r>
      <w:r>
        <w:rPr>
          <w:rStyle w:val="FootnoteReference"/>
        </w:rPr>
        <w:footnoteReference w:id="21"/>
      </w:r>
    </w:p>
    <w:p>
      <w:pPr>
        <w:pStyle w:val="BodyText"/>
      </w:pPr>
      <w:r>
        <w:t xml:space="preserve">Для темы диплома особенно важно, что в Постановлении N 22-П Конституционный Суд РФ фактически сформулировал критерии конституционно допустимого обращения с персональными данными в цифровой среде. Суд исходит из необходимости системной оценки общественного интереса, характера и актуальности сведений, недопустимости злоупотребления правом при их распространении, а также возможности судебного вмешательства в случаях систематического нарушения прав субъекта персональных данных. Тем самым Суд показывает, что конституционная защита данных не исчерпывается первоначальным согласием или фактом однократного правомерного раскрытия информации.</w:t>
      </w:r>
      <w:r>
        <w:rPr>
          <w:rStyle w:val="FootnoteReference"/>
        </w:rPr>
        <w:footnoteReference w:id="22"/>
      </w:r>
    </w:p>
    <w:p>
      <w:pPr>
        <w:pStyle w:val="BodyText"/>
      </w:pPr>
      <w:r>
        <w:t xml:space="preserve">Иные правовые позиции Конституционного Суда РФ дополняют эту картину. В ряде решений Суд указывал, что понятие частной жизни включает ту область жизнедеятельности лица, которая касается только его и не подлежит контролю со стороны общества и государства, если не носит противоправного характера. Данная формула выводит проблему персональных данных за пределы узкого вопроса о бытовой тайне: цифровой контроль за перемещениями, коммуникациями и идентификационными признаками может не сопровождаться публичным разглашением, но все равно затрагивать конституционно охраняемую сферу. В Постановлении N 22-П, со ссылкой на Постановление от 09.07.2013 N 18-П, Конституционный Суд указал, что соответствующие конституционные установления в полной мере относятся и к сведениям, размещаемым в сети Интернет.</w:t>
      </w:r>
      <w:r>
        <w:rPr>
          <w:rStyle w:val="FootnoteReference"/>
        </w:rPr>
        <w:footnoteReference w:id="23"/>
      </w:r>
    </w:p>
    <w:p>
      <w:pPr>
        <w:pStyle w:val="BodyText"/>
      </w:pPr>
      <w:r>
        <w:t xml:space="preserve">Доктринальные подходы к защите данных в цифровой среде в целом подтверждают вывод о конституционной природе соответствующих гарантий. Наиболее близкий российской модели подход рассматривает защиту персональных данных как производную от права на неприкосновенность частной жизни. Иная линия, развиваемая под влиянием теории информационного самоопределения, акцентирует право личности контролировать циркуляцию сведений о себе и противостоять цифровому профилированию. Для российского права эта концепция не может быть механически признана самостоятельным конституционным правом, однако она полезна как интерпретационный инструмент для более глубокого раскрытия содержания статей 23 и 24 Конституции РФ. В современной литературе также подчеркивается связь защиты данных с достоинством личности и недопустимостью превращения человека в объект алгоритмического управления.</w:t>
      </w:r>
      <w:r>
        <w:rPr>
          <w:rStyle w:val="FootnoteReference"/>
        </w:rPr>
        <w:footnoteReference w:id="24"/>
      </w:r>
    </w:p>
    <w:p>
      <w:pPr>
        <w:pStyle w:val="BodyText"/>
      </w:pPr>
      <w:r>
        <w:t xml:space="preserve">Для цифровой среды особенно значим тезис о том, что угроза правам личности исходит не только от содержания конкретного набора данных, но и от масштаба и автоматизированного характера их обработки. Традиционное представление о приватности как о защите лишь интимной сферы оказывается недостаточным, когда нейтральные по отдельности сведения при объединении образуют практически исчерпывающий профиль человека. Отсюда доктрина делает важный вывод: конституционная защита данных должна учитывать не только категорию информации, но и архитектуру ее обработки, возможности последующего сопоставления и профилирования.</w:t>
      </w:r>
      <w:r>
        <w:rPr>
          <w:rStyle w:val="FootnoteReference"/>
        </w:rPr>
        <w:footnoteReference w:id="25"/>
      </w:r>
    </w:p>
    <w:p>
      <w:pPr>
        <w:pStyle w:val="BodyText"/>
      </w:pPr>
      <w:r>
        <w:t xml:space="preserve">Таким образом, конституционная природа защиты персональных данных в Российской Федерации выражается в следующем. Во-первых, эта защита выводится из статей 23 и 24 Конституции РФ как из норм, охраняющих частную жизнь, информационную автономию и право лица знать о затрагивающих его материалах. Во-вторых, статья 55 Конституции РФ придает данной защите характер проверяемого стандарта, устанавливая пределы законодательного усмотрения и критерии допустимого ограничения прав. В-третьих, практика Конституционного Суда РФ подтверждает, что персональные данные рассматриваются как часть конституционно охраняемой сферы частной жизни, а исключения из режима согласия и конфиденциальности подлежат узкому и соразмерному толкованию. Наконец, современная доктрина показывает, что в цифровой среде защита данных означает не только охрану тайны, но и защиту личной автономии от непрозрачного накопления и анализа сведений о человеке. Именно на этой конституционной основе далее может быть обоснован тезис о том, что биометрические данные требуют усиленной правовой охраны.</w:t>
      </w:r>
    </w:p>
    <w:bookmarkEnd w:id="26"/>
    <w:bookmarkStart w:id="40" w:name="X8e49b0e09ceee890eec5f172fa7d1af191e0482"/>
    <w:p>
      <w:pPr>
        <w:pStyle w:val="Heading2"/>
      </w:pPr>
      <w:r>
        <w:t xml:space="preserve">1.2. Биометрические данные как объект усиленной правовой охраны</w:t>
      </w:r>
    </w:p>
    <w:p>
      <w:pPr>
        <w:pStyle w:val="FirstParagraph"/>
      </w:pPr>
      <w:r>
        <w:t xml:space="preserve">После установления конституционной природы защиты персональных данных логично поставить следующий вопрос: достаточно ли для биометрической информации общего режима, предусмотренного законодательством о персональных данных, либо такая информация требует самостоятельного, более строгого правового подхода. Как действующее регулирование, так и сами свойства биометрии склоняют ко второму выводу. Биометрические данные связаны не просто с социальным описанием человека, как, например, сведения о месте работы, номере телефона или семейном положении, а с его телесно-идентификационными характеристиками. По этой причине вмешательство в сферу биометрии означает не только обработку сведений о лице, но и обращение к тем признакам, через которые это лицо распознается в юридическом и технологическом смысле. Отсюда вытекает главный тезис настоящего подпункта: биометрические данные являются объектом усиленной правовой охраны потому, что их обработка затрагивает наиболее чувствительный уровень информационной идентичности личности и создает более интенсивные риски для частной жизни, автономии и безопасности человека, чем обработка большинства иных персональных данных.</w:t>
      </w:r>
    </w:p>
    <w:p>
      <w:pPr>
        <w:pStyle w:val="BodyText"/>
      </w:pPr>
      <w:r>
        <w:t xml:space="preserve">Отправной точкой анализа выступает часть 1 статьи 11 Федерального закона от 27.07.2006 N 152-ФЗ</w:t>
      </w:r>
      <w:r>
        <w:t xml:space="preserve"> </w:t>
      </w:r>
      <w:r>
        <w:t xml:space="preserve">“О персональных данных”</w:t>
      </w:r>
      <w:r>
        <w:t xml:space="preserve">. Закон определяет биометрические персональные данные как сведения, характеризующие физиологические и биологические особенности человека, на основании которых можно установить его личность, если они используются оператором именно для установления личности субъекта персональных данных.</w:t>
      </w:r>
      <w:r>
        <w:rPr>
          <w:rStyle w:val="FootnoteReference"/>
        </w:rPr>
        <w:footnoteReference w:id="27"/>
      </w:r>
      <w:r>
        <w:t xml:space="preserve"> </w:t>
      </w:r>
      <w:r>
        <w:t xml:space="preserve">Это определение принципиально важно в двух отношениях. Во-первых, законодатель связывает биометрию не с любыми сведениями о теле человека, а только с теми, которые обладают идентификационным потенциалом. Во-вторых, решающее значение имеет не только природа самих данных, но и цель их использования оператором. Из этого следует значимый для правоприменения вывод: не всякая фотография, видеозапись или аудиозапись автоматически становится биометрическими персональными данными. Один и тот же массив информации может выступать обычными персональными данными в кадровом деле, медицинской карте или пропускной системе и одновременно приобретать биометрический статус, если он используется для идентификации или аутентификации конкретного лица. Следовательно, в основе российского подхода лежит функциональный критерий: биометрия определяется не только</w:t>
      </w:r>
      <w:r>
        <w:t xml:space="preserve"> </w:t>
      </w:r>
      <w:r>
        <w:t xml:space="preserve">“по носителю”</w:t>
      </w:r>
      <w:r>
        <w:t xml:space="preserve">, но и по юридически значимому способу обращения с ним.</w:t>
      </w:r>
    </w:p>
    <w:p>
      <w:pPr>
        <w:pStyle w:val="BodyText"/>
      </w:pPr>
      <w:r>
        <w:t xml:space="preserve">Такой подход позволяет избежать чрезмерно широкого толкования статьи 11 152-ФЗ, но одновременно обнаруживает и ограниченность действующей дефиниции. Российский законодатель говорит о физиологических и биологических особенностях, не упоминая прямо поведенческие характеристики, а также связывает биометрию прежде всего с установлением личности. Между тем современные технологии уже давно используют не только статические параметры лица, голоса, отпечатков пальцев или радужной оболочки, но и более сложные паттерны: особенности походки, мимику, микро-движения лица, динамику речи, поведенческие сценарии взаимодействия с устройствами. Европейский подход формулирует это шире: GDPR исходит из того, что биометрические данные возникают в результате специальной технической обработки физических, физиологических или поведенческих характеристик человека и приобретают режим особой защиты, когда применяются для уникальной идентификации.</w:t>
      </w:r>
      <w:r>
        <w:rPr>
          <w:rStyle w:val="FootnoteReference"/>
        </w:rPr>
        <w:footnoteReference w:id="28"/>
      </w:r>
      <w:r>
        <w:t xml:space="preserve"> </w:t>
      </w:r>
      <w:r>
        <w:t xml:space="preserve">В результате российская дефиниция оказывается уже технологической реальности и сосредоточена главным образом на идентификации и аутентификации, тогда как современные системы способны не только</w:t>
      </w:r>
      <w:r>
        <w:t xml:space="preserve"> </w:t>
      </w:r>
      <w:r>
        <w:t xml:space="preserve">“узнавать”</w:t>
      </w:r>
      <w:r>
        <w:t xml:space="preserve"> </w:t>
      </w:r>
      <w:r>
        <w:t xml:space="preserve">человека, но и классифицировать, профилировать и предсказывать его поведение на основе биометрических признаков.</w:t>
      </w:r>
      <w:r>
        <w:rPr>
          <w:rStyle w:val="FootnoteReference"/>
        </w:rPr>
        <w:footnoteReference w:id="29"/>
      </w:r>
    </w:p>
    <w:p>
      <w:pPr>
        <w:pStyle w:val="BodyText"/>
      </w:pPr>
      <w:r>
        <w:t xml:space="preserve">Именно здесь проявляется первая причина усиленной правовой охраны биометрии: ее неразрывная связь с физической индивидуальностью человека. В отличие от большинства иных идентификаторов, биометрические признаки нельзя свободно заменить или вывести из оборота. Паспорт можно переоформить, пароль сменить, банковскую карту перевыпустить, но лицо, голос, папиллярный узор, изображение радужной оболочки или иные устойчивые телесные характеристики не поддаются такой же простой юридической</w:t>
      </w:r>
      <w:r>
        <w:t xml:space="preserve"> </w:t>
      </w:r>
      <w:r>
        <w:t xml:space="preserve">“перезагрузке”</w:t>
      </w:r>
      <w:r>
        <w:t xml:space="preserve">. Конечно, говорить об абсолютной неизменяемости биометрии было бы неточно: возраст, заболевание, травма или внешние изменения могут корректировать отдельные признаки. Однако именно их относительная устойчивость делает биометрию удобным инструментом повторной идентификации, а ее компрометацию - трудно обратимой. Если обычные персональные данные нередко можно заменить функциональным эквивалентом, то утечка биометрического шаблона потенциально создает долгосрочный риск повторного использования и подделки идентификационных процедур. Поэтому усиленная охрана биометрии объясняется не абстрактной</w:t>
      </w:r>
      <w:r>
        <w:t xml:space="preserve"> </w:t>
      </w:r>
      <w:r>
        <w:t xml:space="preserve">“чувствительностью”</w:t>
      </w:r>
      <w:r>
        <w:t xml:space="preserve">, а повышенной необратимостью последствий ее неправомерной обработки.</w:t>
      </w:r>
    </w:p>
    <w:p>
      <w:pPr>
        <w:pStyle w:val="BodyText"/>
      </w:pPr>
      <w:r>
        <w:t xml:space="preserve">Вторая причина состоит в универсальности и массовой собираемости биометрических признаков. Почти каждый человек неизбежно обладает лицом, голосом, особенностями движения, и именно эти характеристики сопровождают его во множестве повседневных взаимодействий. В отличие от документов, которые предъявляются в определенный момент и в определенной процедуре, биометрические данные могут извлекаться из обычной жизнедеятельности: из изображения камеры наблюдения, записи разговора, фотографии, видео в общественном месте, пользовательской сессии в мобильном приложении. Это означает, что биометрия может собираться без активного участия субъекта и зачастую без непосредственного осознания им самого факта идентификационной обработки. Такая возможность скрытого и постоянного сбора радикально усиливает риски для частной жизни. Не случайно в сравнительно-правовой литературе и в практике международных судов именно системы распознавания лиц оцениваются как высокоинвазивные: они меняют не только способ проверки личности, но и масштаб наблюдения за человеком в публичном и цифровом пространстве.</w:t>
      </w:r>
      <w:r>
        <w:rPr>
          <w:rStyle w:val="FootnoteReference"/>
        </w:rPr>
        <w:footnoteReference w:id="30"/>
      </w:r>
    </w:p>
    <w:p>
      <w:pPr>
        <w:pStyle w:val="BodyText"/>
      </w:pPr>
      <w:r>
        <w:t xml:space="preserve">Третья причина усиленной охраны связана с многофункциональностью биометрии. Биометрические данные ценны не только как средство подтверждения личности. В современных цифровых системах одни и те же параметры могут использоваться для разных задач: идентификации, аутентификации, категоризации, оценки эмоционального состояния, прогнозирования поведения, выявления подозрительных паттернов, построения профиля риска. Именно поэтому проблема биометрии не исчерпывается вопросом</w:t>
      </w:r>
      <w:r>
        <w:t xml:space="preserve"> </w:t>
      </w:r>
      <w:r>
        <w:t xml:space="preserve">“можно ли узнать человека по лицу или голосу”</w:t>
      </w:r>
      <w:r>
        <w:t xml:space="preserve">. Речь идет о более глубоком вмешательстве, при котором признаки тела и поведения становятся базой для последующих выводов о человеке. Когда такая информация используется автоматически и в больших массивах, возрастает риск ошибок распознавания, ложных совпадений, дискриминационных эффектов и превращения человека в объект алгоритмической оценки. В российском праве эта проблема пока отражена лишь частично: статья 11 152-ФЗ и 572-ФЗ ориентированы главным образом на идентификацию и аутентификацию, тогда как более сложные режимы биометрической категоризации и скрытого анализа остаются описанными фрагментарно.</w:t>
      </w:r>
      <w:r>
        <w:rPr>
          <w:rStyle w:val="FootnoteReference"/>
        </w:rPr>
        <w:footnoteReference w:id="31"/>
      </w:r>
    </w:p>
    <w:p>
      <w:pPr>
        <w:pStyle w:val="BodyText"/>
      </w:pPr>
      <w:r>
        <w:t xml:space="preserve">Промежуточный вывод на данном этапе состоит в следующем: усиленная правовая охрана биометрических данных обусловлена совокупностью их признаков, а не каким-то одним свойством. Опасность заключается не только в том, что биометрия</w:t>
      </w:r>
      <w:r>
        <w:t xml:space="preserve"> </w:t>
      </w:r>
      <w:r>
        <w:t xml:space="preserve">“особенно личная”</w:t>
      </w:r>
      <w:r>
        <w:t xml:space="preserve">, а в том, что она одновременно телесно привязана к человеку, относительно устойчива во времени, потенциально собираема скрытым образом и пригодна для многократного вторичного использования в целях, выходящих далеко за рамки первоначальной идентификации. Именно эта совокупность признаков отличает биометрию от большинства иных персональных данных и оправдывает более жесткие юридические требования к ее обороту.</w:t>
      </w:r>
    </w:p>
    <w:p>
      <w:pPr>
        <w:pStyle w:val="BodyText"/>
      </w:pPr>
      <w:r>
        <w:t xml:space="preserve">Российский законодатель в определенной степени уже признает такой особый статус биометрии. Часть 1 статьи 11 152-ФЗ устанавливает для нее письменное согласие как общее правило обработки, а часть 3 той же статьи закрепляет, что предоставление биометрических персональных данных не может быть обязательным, если иное не вытекает из федерального закона; оператор также не вправе отказывать в обслуживании из-за отказа субъекта предоставить биометрию или дать согласие на ее обработку в тех случаях, когда закон не делает такую обработку обязательной.</w:t>
      </w:r>
      <w:r>
        <w:rPr>
          <w:rStyle w:val="FootnoteReference"/>
        </w:rPr>
        <w:footnoteReference w:id="32"/>
      </w:r>
      <w:r>
        <w:t xml:space="preserve"> </w:t>
      </w:r>
      <w:r>
        <w:t xml:space="preserve">Даже исторически правовой режим биометрии развивался как более строгий по сравнению с общими правилами работы с персональными данными: еще в 2008 году Правительство РФ утвердило специальные требования к материальным носителям биометрических персональных данных и технологиям их хранения вне информационных систем персональных данных.</w:t>
      </w:r>
      <w:r>
        <w:rPr>
          <w:rStyle w:val="FootnoteReference"/>
        </w:rPr>
        <w:footnoteReference w:id="33"/>
      </w:r>
      <w:r>
        <w:t xml:space="preserve"> </w:t>
      </w:r>
      <w:r>
        <w:t xml:space="preserve">Уже одно это показывает, что российское право достаточно давно воспринимает биометрию как информацию, требующую не обычной, а повышенной организационной и технической защиты.</w:t>
      </w:r>
    </w:p>
    <w:p>
      <w:pPr>
        <w:pStyle w:val="BodyText"/>
      </w:pPr>
      <w:r>
        <w:t xml:space="preserve">Новый этап этого подхода связан с Федеральным законом от 29.12.2022 N 572-ФЗ. Его значение для темы заключается не только в создании Единой биометрической системы, но и в самом способе юридического конструирования биометрического оборота. Закон не ограничивается повторением требования о согласии, а выстраивает специальную инфраструктурную модель: определяет, в каких правоотношениях применяется ЕБС, вводит запрет на обязательность предоставления биометрии, запрещает обусловливать оказание услуг обязательным прохождением биометрической идентификации или аутентификации, закрепляет право на отзыв согласия и на требование об удалении либо блокировании данных.</w:t>
      </w:r>
      <w:r>
        <w:rPr>
          <w:rStyle w:val="FootnoteReference"/>
        </w:rPr>
        <w:footnoteReference w:id="34"/>
      </w:r>
      <w:r>
        <w:t xml:space="preserve"> </w:t>
      </w:r>
      <w:r>
        <w:t xml:space="preserve">Особое значение имеет статья 15 572-ФЗ, которая прямо запрещает организациям вне ЕБС обработку, включая сбор и хранение, биометрических данных, используемых для идентификации, а в части аутентификации допускает только строго ограниченную модель сопоставления с векторами ЕБС и резко сужает сроки хранения исходных данных.</w:t>
      </w:r>
      <w:r>
        <w:rPr>
          <w:rStyle w:val="FootnoteReference"/>
        </w:rPr>
        <w:footnoteReference w:id="35"/>
      </w:r>
      <w:r>
        <w:t xml:space="preserve"> </w:t>
      </w:r>
      <w:r>
        <w:t xml:space="preserve">Иными словами, законодатель исходит из того, что свободная циркуляция первичных биометрических данных по множеству частных систем создает повышенные риски и потому требует архитектурных ограничений, а не только формальных согласий.</w:t>
      </w:r>
    </w:p>
    <w:p>
      <w:pPr>
        <w:pStyle w:val="BodyText"/>
      </w:pPr>
      <w:r>
        <w:t xml:space="preserve">Показательно и то, как в действующем регулировании конкретизируются виды биометрических данных для целей 572-ФЗ. После 1 сентября 2024 года закон больше не закрепляет исчерпывающий перечень таких видов на уровне собственного текста; соответствующую компетенцию получило Правительство РФ. Постановлением Правительства РФ от 01.04.2024 N 408 к видам биометрических персональных данных, на которые распространяется действие 572-ФЗ, отнесены изображение лица, полученное с помощью фото- и видеоустройств, и запись голоса, полученная с помощью звукозаписывающих устройств.</w:t>
      </w:r>
      <w:r>
        <w:rPr>
          <w:rStyle w:val="FootnoteReference"/>
        </w:rPr>
        <w:footnoteReference w:id="36"/>
      </w:r>
      <w:r>
        <w:t xml:space="preserve"> </w:t>
      </w:r>
      <w:r>
        <w:t xml:space="preserve">Этот шаг важен по двум причинам. Во-первых, он показывает, что законодатель сознательно ограничивает предмет специального биометрического регулирования наиболее распространенными и массово применимыми идентификаторами. Во-вторых, сам переход от законодательного перечня к подзаконной конкретизации демонстрирует высокую технологическую изменчивость сферы: виды биометрии, параметры их использования и технические требования нуждаются в более гибкой корректировке, чем это обычно требуется для обычных персональных данных.</w:t>
      </w:r>
    </w:p>
    <w:p>
      <w:pPr>
        <w:pStyle w:val="BodyText"/>
      </w:pPr>
      <w:r>
        <w:t xml:space="preserve">Вместе с тем усиленная охрана биометрии не означает ее полного совпадения со специальными категориями персональных данных, перечисленными в статье 10 152-ФЗ. Это принципиальный момент, который важно зафиксировать без смешения норм. Статья 10 посвящена содержательно чувствительным сведениям - расовой и национальной принадлежности, политическим взглядам, религиозным или философским убеждениям, состоянию здоровья, интимной жизни. Биометрические данные в этот перечень не включены. Их базовой нормой остается статья 11, а статья 10.1, как уже отмечалось в подпункте 1.1, регулирует вовсе не биометрию, а персональные данные, разрешенные субъектом для распространения.</w:t>
      </w:r>
      <w:r>
        <w:rPr>
          <w:rStyle w:val="FootnoteReference"/>
        </w:rPr>
        <w:footnoteReference w:id="37"/>
      </w:r>
      <w:r>
        <w:t xml:space="preserve"> </w:t>
      </w:r>
      <w:r>
        <w:t xml:space="preserve">Следовательно, российский законодатель развел два режима чувствительности: один связан с содержанием информации, другой - с ее идентификационной функцией. С догматической точки зрения это решение последовательно, поскольку биометрия опасна не тем, что обязательно раскрывает политические взгляды или состояние здоровья, а тем, что позволяет постоянно и точно привязывать иные сведения к конкретному телесному носителю.</w:t>
      </w:r>
    </w:p>
    <w:p>
      <w:pPr>
        <w:pStyle w:val="BodyText"/>
      </w:pPr>
      <w:r>
        <w:t xml:space="preserve">Однако на практике такое разведение не устраняет всех проблем. Биометрические данные могут быть не менее чувствительными, чем сведения из статьи 10, а иногда и опаснее их. Сама по себе биометрия может прямо не раскрывать убеждения или диагноз, но она служит универсальным ключом к связке человека с множеством других массивов информации. Через лицо, голос или иные идентификаторы становится возможным соединение разрозненных сведений в единый профиль, а значит, биометрия превращается в инструмент доступа к более широкому кругу чувствительной информации. Европейская модель выражает эту идею более ясно: GDPR относит биометрические данные, используемые для уникальной идентификации, к особым категориям персональных данных, а также специально оговаривает, что фотографии не должны автоматически считаться такой категорией, если они не обрабатываются специальными техническими средствами для идентификации или аутентификации.</w:t>
      </w:r>
      <w:r>
        <w:rPr>
          <w:rStyle w:val="FootnoteReference"/>
        </w:rPr>
        <w:footnoteReference w:id="38"/>
      </w:r>
      <w:r>
        <w:t xml:space="preserve"> </w:t>
      </w:r>
      <w:r>
        <w:t xml:space="preserve">Сравнение с GDPR показывает, что российское право фактически признает высокую чувствительность биометрии, но делает это через особый, отдельный режим, а не через включение ее в состав специальных категорий.</w:t>
      </w:r>
    </w:p>
    <w:p>
      <w:pPr>
        <w:pStyle w:val="BodyText"/>
      </w:pPr>
      <w:r>
        <w:t xml:space="preserve">Отдельного рассмотрения требует разграничение биометрических и генетических данных. Эти категории близки по своей биологической природе, но не совпадают юридически и функционально. Биометрические данные в статье 11 152-ФЗ определяются через способность и использование для установления личности. Генетическая же информация связана с наследственными или приобретенными генетическими характеристиками лица и несет существенно более широкий объем выводов - о происхождении, родстве, предрасположенности к заболеваниям, иных глубинных свойствах организма. Уже поэтому смешение этих категорий методологически неверно. Российский законодатель прямо подтверждает такое разграничение: часть 8 статьи 3 572-ФЗ запрещает в ЕБС и связанных с ней аккредитованных системах обработку, включая сбор и хранение, геномной информации.</w:t>
      </w:r>
      <w:r>
        <w:rPr>
          <w:rStyle w:val="FootnoteReference"/>
        </w:rPr>
        <w:footnoteReference w:id="39"/>
      </w:r>
      <w:r>
        <w:t xml:space="preserve"> </w:t>
      </w:r>
      <w:r>
        <w:t xml:space="preserve">Тем самым закон показывает, что даже внутри</w:t>
      </w:r>
      <w:r>
        <w:t xml:space="preserve"> </w:t>
      </w:r>
      <w:r>
        <w:t xml:space="preserve">“телесно ориентированных”</w:t>
      </w:r>
      <w:r>
        <w:t xml:space="preserve"> </w:t>
      </w:r>
      <w:r>
        <w:t xml:space="preserve">данных существует дополнительная шкала чувствительности, и генетическая информация занимает в ней еще более защищенную позицию.</w:t>
      </w:r>
    </w:p>
    <w:p>
      <w:pPr>
        <w:pStyle w:val="BodyText"/>
      </w:pPr>
      <w:r>
        <w:t xml:space="preserve">В то же время само наличие такого запрета не должно создавать ложное впечатление, будто биометрия представляет собой менее значимую категорию и потому не требует специального конституционно-правового внимания. Напротив, разграничение биометрических и генетических данных важно именно для точной настройки усиленной охраны. Геномная информация отличается более высоким потенциалом вторичных выводов, но и биометрия уже сегодня позволяет осуществлять непрерывное наблюдение, массовую идентификацию, связывание человека с цифровым профилем и принятие решений на основе автоматизированного анализа. Следовательно, различие между биометрическими и генетическими данными не отменяет необходимости усиленного режима биометрии; оно лишь показывает, что внутри общей сферы данных, связанных с телесной индивидуальностью человека, правовая дифференциация должна быть особенно точной.</w:t>
      </w:r>
    </w:p>
    <w:p>
      <w:pPr>
        <w:pStyle w:val="BodyText"/>
      </w:pPr>
      <w:r>
        <w:t xml:space="preserve">Таким образом, биометрические данные в российской правовой системе обоснованно рассматриваются как объект усиленной правовой охраны. Такой вывод вытекает, во-первых, из особой правовой природы этих данных, определяемой через идентификационную функцию и телесную привязку к личности; во-вторых, из их фактических свойств - относительной устойчивости, трудной заменимости, скрытой собираемости и высокой пригодности к повторному использованию; в-третьих, из самой структуры законодательства, которое для биометрии устанавливает отдельные требования о письменном согласии, добровольности предоставления, технической защите, архитектурных ограничениях обращения вне ЕБС и специальных запретах. При этом усиленная охрана биометрии не означает признания за ней полностью автономного конституционного статуса, но означает необходимость более строгого стандарта правовой оценки любых практик ее сбора и использования. Именно поэтому анализ цифровой идентификации в следующем подпункте должен вестись уже с учетом того, что биометрия является не обычным</w:t>
      </w:r>
      <w:r>
        <w:t xml:space="preserve"> </w:t>
      </w:r>
      <w:r>
        <w:t xml:space="preserve">“видом данных”</w:t>
      </w:r>
      <w:r>
        <w:t xml:space="preserve">, а чувствительным идентификационным ресурсом, способным качественно изменить масштаб вмешательства в частную жизнь.</w:t>
      </w:r>
    </w:p>
    <w:bookmarkEnd w:id="40"/>
    <w:bookmarkStart w:id="65" w:name="X0fa12046f1a47ae72dd31327d29dc68a2bd2b4e"/>
    <w:p>
      <w:pPr>
        <w:pStyle w:val="Heading2"/>
      </w:pPr>
      <w:r>
        <w:t xml:space="preserve">1.3. Цифровая идентификация как новая среда реализации и ограничения прав личности</w:t>
      </w:r>
    </w:p>
    <w:p>
      <w:pPr>
        <w:pStyle w:val="FirstParagraph"/>
      </w:pPr>
      <w:r>
        <w:t xml:space="preserve">Цифровая идентификация в современном правовом порядке представляет собой уже не частную техническую процедуру подтверждения личности, а особую институциональную среду, в которой осуществляется значительная часть юридически значимых действий. Если традиционная идентификация была ситуативной и обычно происходила в момент личного предъявления документа, то цифровая идентификация строится иначе: она опирается на заранее сформированную инфраструктуру данных, на постоянную связку учетной записи, идентификаторов, способов аутентификации и каналов доступа к услугам. В результате меняется не только техника установления личности, но и сама конфигурация отношений между гражданином, государством и организациями, предоставляющими публично значимые и коммерческие сервисы.</w:t>
      </w:r>
      <w:r>
        <w:rPr>
          <w:rStyle w:val="FootnoteReference"/>
        </w:rPr>
        <w:footnoteReference w:id="41"/>
      </w:r>
    </w:p>
    <w:p>
      <w:pPr>
        <w:pStyle w:val="BodyText"/>
      </w:pPr>
      <w:r>
        <w:t xml:space="preserve">Именно поэтому цифровая идентификация должна рассматриваться в конституционно-правовом измерении не как нейтральный технологический сервис, а как новая среда реализации и одновременно ограничения прав личности. Через нее человек получает доступ к банковским услугам, государственным сервисам, транспортной инфраструктуре, гостиничному обслуживанию, отдельным режимным территориям и информационным платформам. Иначе говоря, идентификация постепенно становится не внешним этапом перед оказанием услуги, а встроенным фильтром допуска к ней. В такой конструкции вопрос о защите персональных и биометрических данных приобретает дополнительную остроту: речь идет уже не только о том, какие сведения собираются о человеке, но и о том, на каких условиях они начинают выполнять функцию</w:t>
      </w:r>
      <w:r>
        <w:t xml:space="preserve"> </w:t>
      </w:r>
      <w:r>
        <w:t xml:space="preserve">“пропуска”</w:t>
      </w:r>
      <w:r>
        <w:t xml:space="preserve"> </w:t>
      </w:r>
      <w:r>
        <w:t xml:space="preserve">в цифровую и офлайн-инфраструктуру.</w:t>
      </w:r>
      <w:r>
        <w:rPr>
          <w:rStyle w:val="FootnoteReference"/>
        </w:rPr>
        <w:footnoteReference w:id="42"/>
      </w:r>
    </w:p>
    <w:p>
      <w:pPr>
        <w:pStyle w:val="BodyText"/>
      </w:pPr>
      <w:r>
        <w:t xml:space="preserve">Юридическая база этой трансформации в российском праве концентрируется прежде всего в 572-ФЗ. Закон различает идентификацию и аутентификацию, закрепляет механизмы размещения сведений в ЕБС и ЕСИА, а также связывает использование биометрии с определенной системой согласий, отказов, отзывов и технических процедур проверки соответствия.</w:t>
      </w:r>
      <w:r>
        <w:rPr>
          <w:rStyle w:val="FootnoteReference"/>
        </w:rPr>
        <w:footnoteReference w:id="43"/>
      </w:r>
      <w:r>
        <w:t xml:space="preserve"> </w:t>
      </w:r>
      <w:r>
        <w:t xml:space="preserve">Однако в социально-правовом смысле цифровая идентификация уже шире легальных дефиниций. Она включает весь цикл обращения с идентификационным ресурсом: от первоначального размещения биометрии и ее преобразования в технологически пригодную форму до дальнейшего использования при обращении за услугой, проходе на территорию, доступе к приложению или дистанционном совершении юридически значимого действия. Подзаконное регулирование 2025 года дополнительно подтверждает эту мысль: параметры изображения лица и записи голоса для целей ЕБС, а также порядок их периодической проверки были вновь уточнены, что показывает зависимость юридического доступа к услугам от постоянно обновляемых технических стандартов.</w:t>
      </w:r>
      <w:r>
        <w:rPr>
          <w:rStyle w:val="FootnoteReference"/>
        </w:rPr>
        <w:footnoteReference w:id="44"/>
      </w:r>
    </w:p>
    <w:p>
      <w:pPr>
        <w:pStyle w:val="BodyText"/>
      </w:pPr>
      <w:r>
        <w:t xml:space="preserve">На этом фоне особенно важным становится связь цифровой идентификации с цифровым профилем личности. В доктрине справедливо подчеркивается, что опасность несет не только наличие отдельного массива данных, но и возможность связать разрозненные сведения в единую траекторию поведения человека.</w:t>
      </w:r>
      <w:r>
        <w:rPr>
          <w:rStyle w:val="FootnoteReference"/>
        </w:rPr>
        <w:footnoteReference w:id="45"/>
      </w:r>
      <w:r>
        <w:t xml:space="preserve"> </w:t>
      </w:r>
      <w:r>
        <w:t xml:space="preserve">Биометрия в такой системе выступает особенно мощным соединительным элементом, поскольку она позволяет надежно привязывать к конкретному субъекту иные сведения из государственных и коммерческих информационных систем. Тем самым цифровая идентификация усиливает эффект профилирования: человек становится не просто носителем разрозненных персональных данных, а объектом сквозного сопоставления, верификации и допуска в различные социальные и экономические контуры.</w:t>
      </w:r>
    </w:p>
    <w:p>
      <w:pPr>
        <w:pStyle w:val="BodyText"/>
      </w:pPr>
      <w:r>
        <w:t xml:space="preserve">Промежуточный вывод на данном этапе состоит в том, что цифровая идентификация меняет сам масштаб вмешательства в частную жизнь. Вмешательство перестает быть однократным актом сбора либо передачи информации. Оно приобретает инфраструктурный характер: однажды созданный идентификационный контур способен многократно использоваться в различных правоотношениях, причем для самого субъекта такая повторная эксплуатация часто оказывается менее заметной, чем при традиционной документарной модели. Соответственно, конституционно-правовой анализ должен быть обращен не только к моменту получения согласия, но и к архитектуре дальнейшего обращения идентификационных данных.</w:t>
      </w:r>
    </w:p>
    <w:p>
      <w:pPr>
        <w:pStyle w:val="BodyText"/>
      </w:pPr>
      <w:r>
        <w:t xml:space="preserve">Свежие официальные материалы 2025-2026 годов наглядно показывают, что российская модель цифровой идентификации находится в стадии ускоренного расширения сфер применения. Существенное значение в этом отношении имеют постановление Правительства РФ от 15.06.2022 N 1067 и последующие изменения, внесенные постановлением Правительства РФ от 07.08.2025 N 1183. В обновленной модели существенно расширены случаи использования биометрических персональных данных, размещенных через мобильное приложение ЕБС. Речь идет не только об оплате проезда и отдельных сценариях дополнительной аутентификации, но и о более широком включении биометрии в повседневную инфраструктуру допуска, включая доступ на территории и объекты отдельных организаций, а также использование в отношении ряда социальных и сервисных сценариев.</w:t>
      </w:r>
      <w:r>
        <w:rPr>
          <w:rStyle w:val="FootnoteReference"/>
        </w:rPr>
        <w:footnoteReference w:id="46"/>
      </w:r>
      <w:r>
        <w:t xml:space="preserve"> </w:t>
      </w:r>
      <w:r>
        <w:t xml:space="preserve">Для темы диплома это важно потому, что переход от</w:t>
      </w:r>
      <w:r>
        <w:t xml:space="preserve"> </w:t>
      </w:r>
      <w:r>
        <w:t xml:space="preserve">“дистанционного банковского инструмента”</w:t>
      </w:r>
      <w:r>
        <w:t xml:space="preserve"> </w:t>
      </w:r>
      <w:r>
        <w:t xml:space="preserve">к более широкой модели жизненных сценариев качественно меняет правовое значение идентификации. Чем больше сфер повседневной жизни опирается на единую идентификационную инфраструктуру, тем выше риск ее превращения в фактический универсальный канал допуска.</w:t>
      </w:r>
    </w:p>
    <w:p>
      <w:pPr>
        <w:pStyle w:val="BodyText"/>
      </w:pPr>
      <w:r>
        <w:t xml:space="preserve">Еще более показателен новейший вектор 2026 года. 24 января 2026 года Правительство РФ внесло в Государственную Думу законопроект о биометрии в системах управления доступом. В официальном сообщении прямо указано, что предполагается расширение возможностей использования биометрии для прохода в государственные учреждения, корпорации и отдельные учебные заведения, при сохранении альтернативных способов прохода и добровольного характера выбора для граждан.</w:t>
      </w:r>
      <w:r>
        <w:rPr>
          <w:rStyle w:val="FootnoteReference"/>
        </w:rPr>
        <w:footnoteReference w:id="47"/>
      </w:r>
      <w:r>
        <w:t xml:space="preserve"> </w:t>
      </w:r>
      <w:r>
        <w:t xml:space="preserve">Уже сама постановка вопроса демонстрирует существенный сдвиг: цифровая идентификация начинает пониматься не только как способ удаленного получения услуги, но и как элемент физического пропускного режима. Иначе говоря, биометрическая идентификация выходит за пределы чисто</w:t>
      </w:r>
      <w:r>
        <w:t xml:space="preserve"> </w:t>
      </w:r>
      <w:r>
        <w:t xml:space="preserve">“цифрового кабинета”</w:t>
      </w:r>
      <w:r>
        <w:t xml:space="preserve"> </w:t>
      </w:r>
      <w:r>
        <w:t xml:space="preserve">и входит в пространство офлайн-доступа к социально значимым объектам. Для конституционного анализа это означает резкое усиление связи между данными о личности и фактической свободой перемещения, доступа к образованию, труду и иным сферам жизнедеятельности.</w:t>
      </w:r>
    </w:p>
    <w:p>
      <w:pPr>
        <w:pStyle w:val="BodyText"/>
      </w:pPr>
      <w:r>
        <w:t xml:space="preserve">Отдельного внимания заслуживает финансовый сектор, где квазиобязательный потенциал цифровой идентификации проявляется особенно отчетливо. Федеральный закон от 01.04.2025 N 41-ФЗ, принятый в рамках антифрод-реформы, расширил значение ЕБС для дистанционного финансового обслуживания.</w:t>
      </w:r>
      <w:r>
        <w:rPr>
          <w:rStyle w:val="FootnoteReference"/>
        </w:rPr>
        <w:footnoteReference w:id="48"/>
      </w:r>
      <w:r>
        <w:t xml:space="preserve"> </w:t>
      </w:r>
      <w:r>
        <w:t xml:space="preserve">Наиболее яркий пример связан с микрофинансовыми организациями: с 1 марта 2026 года для микрофинансовых компаний стало обязательным использование ЕСИА и ЕБС при дистанционном приеме на обслуживание клиента - физического лица и дистанционном заключении каждого договора потребительского займа; для микрокредитных компаний аналогичный переходный период продлен до 1 марта 2027 года.</w:t>
      </w:r>
      <w:r>
        <w:rPr>
          <w:rStyle w:val="FootnoteReference"/>
        </w:rPr>
        <w:footnoteReference w:id="49"/>
      </w:r>
      <w:r>
        <w:t xml:space="preserve"> </w:t>
      </w:r>
      <w:r>
        <w:t xml:space="preserve">Формально такая модель мотивируется борьбой с мошенничеством и защитой заемщика от подмены личности. Однако с конституционно-правовой точки зрения здесь особенно заметно, как цифровая идентификация превращается из дополнительной опции в обязательный элемент определенного вида экономических отношений.</w:t>
      </w:r>
    </w:p>
    <w:p>
      <w:pPr>
        <w:pStyle w:val="BodyText"/>
      </w:pPr>
      <w:r>
        <w:t xml:space="preserve">Практика начала 2026 года подтверждает, что речь идет не о декларативной норме, а о реально воздействующем регуляторном механизме. По официальной аналитике Банка России, именно внедрение обязательной биометрической проверки для МФК с 1 марта 2026 года уже повлияло на рынок: часть организаций столкнулась с адаптационными трудностями, а десять микрофинансовых компаний в начале 2026 года были преобразованы в микрокредитные компании, для которых обязательность ЕБС наступит позже.</w:t>
      </w:r>
      <w:r>
        <w:rPr>
          <w:rStyle w:val="FootnoteReference"/>
        </w:rPr>
        <w:footnoteReference w:id="50"/>
      </w:r>
      <w:r>
        <w:t xml:space="preserve"> </w:t>
      </w:r>
      <w:r>
        <w:t xml:space="preserve">Этот пример особенно важен для диплома, потому что показывает подлинный масштаб правового эффекта. Даже там, где норма формально адресована организациям, она изменяет модель доступа граждан к услуге, стоимость соблюдения требований для участников рынка и структуру самого рынка. Следовательно, цифровая идентификация выступает не только средством защиты, но и фактором институционального перераспределения возможностей.</w:t>
      </w:r>
    </w:p>
    <w:p>
      <w:pPr>
        <w:pStyle w:val="BodyText"/>
      </w:pPr>
      <w:r>
        <w:t xml:space="preserve">Наряду с этим Банк России в материалах 2026 года фиксирует и более широкую тенденцию: ЕБС перестает быть единым по содержанию инструментом и становится многоуровневой инфраструктурой. В официальных документах различаются стандартная, упрощенная и подтвержденная биометрия; объем доступных гражданину сценариев зависит от способа регистрации и уровня подтверждения личности.</w:t>
      </w:r>
      <w:r>
        <w:rPr>
          <w:rStyle w:val="FootnoteReference"/>
        </w:rPr>
        <w:footnoteReference w:id="51"/>
      </w:r>
      <w:r>
        <w:t xml:space="preserve"> </w:t>
      </w:r>
      <w:r>
        <w:t xml:space="preserve">Так, один уровень биометрии ориентирован на ограниченный круг повседневных сервисов, тогда как подтвержденная биометрия открывает доступ к более чувствительным сценариям, включая дистанционное банковское обслуживание и гостиничное заселение.</w:t>
      </w:r>
      <w:r>
        <w:rPr>
          <w:rStyle w:val="FootnoteReference"/>
        </w:rPr>
        <w:footnoteReference w:id="52"/>
      </w:r>
      <w:r>
        <w:t xml:space="preserve"> </w:t>
      </w:r>
      <w:r>
        <w:t xml:space="preserve">С конституционной точки зрения это означает появление новой формы технологически опосредованной стратификации доступа: фактически не только наличие биометрии, но и способ ее получения начинает влиять на объем доступных возможностей в цифровой среде.</w:t>
      </w:r>
    </w:p>
    <w:p>
      <w:pPr>
        <w:pStyle w:val="BodyText"/>
      </w:pPr>
      <w:r>
        <w:t xml:space="preserve">Регуляторные разъяснения также подтверждают, что идентификационная инфраструктура становится постоянным элементом финансового и сервисного контуров. По состоянию на 18 февраля 2026 года Банк России в официальных ответах на вопросы прямо указывает на использование ЕБС и приложения</w:t>
      </w:r>
      <w:r>
        <w:t xml:space="preserve"> </w:t>
      </w:r>
      <w:r>
        <w:t xml:space="preserve">“Госуслуги.Биометрия”</w:t>
      </w:r>
      <w:r>
        <w:t xml:space="preserve"> </w:t>
      </w:r>
      <w:r>
        <w:t xml:space="preserve">как устойчивого канала подтверждения личности для взаимодействия с банками.</w:t>
      </w:r>
      <w:r>
        <w:rPr>
          <w:rStyle w:val="FootnoteReference"/>
        </w:rPr>
        <w:footnoteReference w:id="53"/>
      </w:r>
      <w:r>
        <w:t xml:space="preserve"> </w:t>
      </w:r>
      <w:r>
        <w:t xml:space="preserve">В материалах Банка России о развитии финансового рынка на 2026-2028 годы цифровая инфраструктура, включающая ЕБС, рассматривается уже как системный компонент развития удаленных финансовых услуг. Более того, Банк России прямо связывает дальнейшее развитие сервисов с использованием биометрии с расширением цифровой инфраструктуры рынка и отмечает дифференциацию биометрических сценариев по уровню подтверждения.</w:t>
      </w:r>
      <w:r>
        <w:rPr>
          <w:rStyle w:val="FootnoteReference"/>
        </w:rPr>
        <w:footnoteReference w:id="54"/>
      </w:r>
    </w:p>
    <w:p>
      <w:pPr>
        <w:pStyle w:val="BodyText"/>
      </w:pPr>
      <w:r>
        <w:t xml:space="preserve">Не менее показательно, что расширение идентификационной инфраструктуры происходит не только через нормы, но и через последовательно масштабируемую практику. Правительство в официальных сообщениях зафиксировало расширение пилотного проекта обслуживания граждан в МФЦ без предъявления паспорта на базе ЕБС, а также использование биометрии для оплаты проезда в метрополитене.</w:t>
      </w:r>
      <w:r>
        <w:rPr>
          <w:rStyle w:val="FootnoteReference"/>
        </w:rPr>
        <w:footnoteReference w:id="55"/>
      </w:r>
      <w:r>
        <w:t xml:space="preserve"> </w:t>
      </w:r>
      <w:r>
        <w:t xml:space="preserve">Отдельно сообщалось об успешных испытаниях сервиса посадки на поезд по биометрии; в числе уже существующих либо развиваемых сценариев назывались также заселение в гостиницу без паспорта, подтверждение возраста при покупке товаров с возрастными ограничениями и самообслуживание в МФЦ.</w:t>
      </w:r>
      <w:r>
        <w:rPr>
          <w:rStyle w:val="FootnoteReference"/>
        </w:rPr>
        <w:footnoteReference w:id="56"/>
      </w:r>
      <w:r>
        <w:t xml:space="preserve"> </w:t>
      </w:r>
      <w:r>
        <w:t xml:space="preserve">В совокупности это означает, что цифровая идентификация развивается одновременно в трех плоскостях: как инструмент удаленного доступа к услугам, как инструмент безопасного допуска в физическое пространство и как механизм повседневного клиентского сервиса.</w:t>
      </w:r>
    </w:p>
    <w:p>
      <w:pPr>
        <w:pStyle w:val="BodyText"/>
      </w:pPr>
      <w:r>
        <w:t xml:space="preserve">Отдельно необходимо отметить очень свежие изменения в гостиничной сфере. Постановление Правительства РФ от 21.02.2026 N 174 скорректировало правила регистрации и гостиничного обслуживания таким образом, что с 1 апреля 2026 года регистрация по месту пребывания в гостиницах, санаториях и пансионатах может осуществляться с использованием цифровых инструментов представления сведений о документе, удостоверяющем личность, а правила гостиничных услуг прямо учитывают сценарии использования ЕБС.</w:t>
      </w:r>
      <w:r>
        <w:rPr>
          <w:rStyle w:val="FootnoteReference"/>
        </w:rPr>
        <w:footnoteReference w:id="57"/>
      </w:r>
      <w:r>
        <w:t xml:space="preserve"> </w:t>
      </w:r>
      <w:r>
        <w:t xml:space="preserve">Дополнительно официальный текст правил уже в редакции 2026 года предусматривает специальные положения о заселении в гостиницу несовершеннолетних граждан до 14 лет при использовании ЕБС или многофункционального сервиса обмена информацией.</w:t>
      </w:r>
      <w:r>
        <w:rPr>
          <w:rStyle w:val="FootnoteReference"/>
        </w:rPr>
        <w:footnoteReference w:id="58"/>
      </w:r>
      <w:r>
        <w:t xml:space="preserve"> </w:t>
      </w:r>
      <w:r>
        <w:t xml:space="preserve">Эта сфера важна не только как новый сервисный кейс. Она показывает, что цифровая идентификация затрагивает уже не периферийные, а базовые жизненные ситуации, связанные с перемещением, проживанием и подтверждением личности вне места постоянного нахождения.</w:t>
      </w:r>
    </w:p>
    <w:p>
      <w:pPr>
        <w:pStyle w:val="BodyText"/>
      </w:pPr>
      <w:r>
        <w:t xml:space="preserve">Все это позволяет сделать принципиальный вывод: цифровая идентификация обладает двойственной конституционной природой. С одной стороны, она действительно способна расширять возможности реализации прав. Благодаря ей гражданин может быстрее получать услугу, дистанционно подтверждать свою личность, снижать транзакционные издержки, пользоваться более защищенными от мошенничества каналами взаимодействия с банками и государством. В этом аспекте цифровая идентификация выступает как технологическая форма повышения доступности публичных и частных сервисов.</w:t>
      </w:r>
    </w:p>
    <w:p>
      <w:pPr>
        <w:pStyle w:val="BodyText"/>
      </w:pPr>
      <w:r>
        <w:t xml:space="preserve">С другой стороны, именно цифровая идентификация создает новые формы ограничения прав личности, которые не всегда выглядят как прямой запрет. Риск заключается в постепенном смещении от добровольной биометрической опции к фактической инфраструктурной предпочтительности биометрии. Даже если закон формально сохраняет альтернативу и прямо запрещает отказ в услуге лишь из-за отказа от биометрии, сама организация сервисов, скорость обслуживания, удобство, уровень доступных функций и издержки для участников рынка могут формировать квазиобязательную модель поведения.</w:t>
      </w:r>
      <w:r>
        <w:rPr>
          <w:rStyle w:val="FootnoteReference"/>
        </w:rPr>
        <w:footnoteReference w:id="59"/>
      </w:r>
      <w:r>
        <w:t xml:space="preserve"> </w:t>
      </w:r>
      <w:r>
        <w:t xml:space="preserve">В таких условиях внешне добровольный выбор перестает быть полностью нейтральным. Он начинает зависеть от того, насколько обременительной сделана небиметрическая альтернатива и не превращается ли она в менее удобный, более медленный или менее функциональный канал доступа.</w:t>
      </w:r>
    </w:p>
    <w:p>
      <w:pPr>
        <w:pStyle w:val="BodyText"/>
      </w:pPr>
      <w:r>
        <w:t xml:space="preserve">Конституционно значимым здесь является и еще одно обстоятельство. Чем шире становится диапазон сфер, в которых используется единая идентификационная инфраструктура, тем выше опасность функционального перетекания данных между различными контекстами. Идентификационный ресурс, сформированный для одной цели, постепенно приобретает многоцелевой характер. Это особенно заметно при одновременном развитии ЕБС, цифрового профиля, сервисов</w:t>
      </w:r>
      <w:r>
        <w:t xml:space="preserve"> </w:t>
      </w:r>
      <w:r>
        <w:t xml:space="preserve">“жизненные ситуации”</w:t>
      </w:r>
      <w:r>
        <w:t xml:space="preserve">, платформ противодействия мошенничеству и иных механизмов межсистемного обмена сведениями. При такой архитектуре вопрос о пропорциональности вмешательства в частную жизнь уже нельзя решать отдельно для каждого узкого сервиса. Необходима оценка совокупного эффекта инфраструктуры в целом: насколько она усиливает наблюдаемость человека, делает предсказуемым его поведение и увеличивает у государства и крупных платформ возможность сквозного контроля.</w:t>
      </w:r>
    </w:p>
    <w:p>
      <w:pPr>
        <w:pStyle w:val="BodyText"/>
      </w:pPr>
      <w:r>
        <w:t xml:space="preserve">Промежуточный вывод по данному подпункту состоит в следующем. Цифровая идентификация в России перестала быть только специальной юридической техникой подтверждения личности. Она превращается в универсальную среду доступа к услугам, объектам и цифровым платформам, а потому непосредственно влияет на баланс между удобством, безопасностью и частной жизнью. Свежие материалы 2025-2026 годов показывают, что этот процесс идет одновременно по нескольким направлениям: через расширение разрешенных сценариев ЕБС, через внедрение биометрии в системы физического доступа, через обязательное либо практически неизбежное использование идентификационной инфраструктуры в отдельных сегментах финансового рынка, а также через масштабирование сервисной практики в МФЦ, транспорте и гостиничной сфере.</w:t>
      </w:r>
      <w:r>
        <w:rPr>
          <w:rStyle w:val="FootnoteReference"/>
        </w:rPr>
        <w:footnoteReference w:id="60"/>
      </w:r>
      <w:r>
        <w:rPr>
          <w:rStyle w:val="FootnoteReference"/>
        </w:rPr>
        <w:footnoteReference w:id="61"/>
      </w:r>
      <w:r>
        <w:rPr>
          <w:rStyle w:val="FootnoteReference"/>
        </w:rPr>
        <w:footnoteReference w:id="62"/>
      </w:r>
      <w:r>
        <w:rPr>
          <w:rStyle w:val="FootnoteReference"/>
        </w:rPr>
        <w:footnoteReference w:id="63"/>
      </w:r>
      <w:r>
        <w:rPr>
          <w:rStyle w:val="FootnoteReference"/>
        </w:rPr>
        <w:footnoteReference w:id="64"/>
      </w:r>
    </w:p>
    <w:p>
      <w:pPr>
        <w:pStyle w:val="BodyText"/>
      </w:pPr>
      <w:r>
        <w:t xml:space="preserve">Таким образом, цифровая идентификация должна оцениваться как новая среда реализации и ограничения прав личности потому, что она меняет не отдельный правовой институт, а сам способ участия человека в социально значимых отношениях. В этой среде право на частную жизнь сталкивается уже не только с риском разглашения данных, но и с риском постоянной верификации, инфраструктурной зависимостью от идентификационных систем и постепенным превращением биометрии в универсальный ключ допуска. Именно поэтому дальнейший анализ российского регулирования во второй главе должен строиться не вокруг абстрактного вопроса о</w:t>
      </w:r>
      <w:r>
        <w:t xml:space="preserve"> </w:t>
      </w:r>
      <w:r>
        <w:t xml:space="preserve">“допустимости технологий”</w:t>
      </w:r>
      <w:r>
        <w:t xml:space="preserve">, а вокруг более точной проблемы: достаточны ли действующие конституционно-правовые гарантии для того, чтобы расширение цифровой идентификации не привело к функциональному умалению приватности и свободы личности.</w:t>
      </w:r>
    </w:p>
    <w:bookmarkEnd w:id="65"/>
    <w:bookmarkEnd w:id="66"/>
    <w:bookmarkStart w:id="148" w:name="X9bc834a002be5ae1ded7c322570439bd600cfda"/>
    <w:p>
      <w:pPr>
        <w:pStyle w:val="Heading1"/>
      </w:pPr>
      <w:r>
        <w:t xml:space="preserve">ГЛАВА 2. ДЕЙСТВУЮЩЕЕ РОССИЙСКОЕ РЕГУЛИРОВАНИЕ И ПРАКТИКА ЗАЩИТЫ ПЕРСОНАЛЬНЫХ И БИОМЕТРИЧЕСКИХ ДАННЫХ</w:t>
      </w:r>
    </w:p>
    <w:bookmarkStart w:id="93" w:name="X892f6335622afc0a9f47e923d034da19014aa0c"/>
    <w:p>
      <w:pPr>
        <w:pStyle w:val="Heading2"/>
      </w:pPr>
      <w:r>
        <w:t xml:space="preserve">2.1. Нормативная модель защиты персональных и биометрических данных в российском праве</w:t>
      </w:r>
    </w:p>
    <w:p>
      <w:pPr>
        <w:pStyle w:val="FirstParagraph"/>
      </w:pPr>
      <w:r>
        <w:t xml:space="preserve">Нормативная модель защиты персональных и биометрических данных в современной России устроена как многоуровневая и внутренне неоднородная конструкция. Ее нельзя описать только через Федеральный закон от 27 июля 2006 г. N 152-ФЗ «О персональных данных» либо только через Федеральный закон от 29 декабря 2022 г. N 572-ФЗ о биометрической идентификации и аутентификации. Реально действующий режим складывается из общего закона о персональных данных, специального регулирования Единой биометрической системы, подзаконных актов Правительства и Минцифры, а также из секторальных правил финансового рынка, где защита данных все теснее связывается с антифродом, удаленным обслуживанием и межплатформенным обменом сведениями.</w:t>
      </w:r>
      <w:r>
        <w:rPr>
          <w:rStyle w:val="FootnoteReference"/>
        </w:rPr>
        <w:footnoteReference w:id="67"/>
      </w:r>
    </w:p>
    <w:p>
      <w:pPr>
        <w:pStyle w:val="BodyText"/>
      </w:pPr>
      <w:r>
        <w:t xml:space="preserve">Общий контур этой модели по-прежнему задает Закон N 152-ФЗ. Его назначение сформулировано как обеспечение защиты прав и свобод человека и гражданина при обработке персональных данных, в том числе права на неприкосновенность частной жизни, личную и семейную тайну. Статья 5 закрепляет принципы обработки: законность и справедливость, ограничение обработки заранее определенными и законными целями, недопустимость несовместимой с такими целями обработки, требование достаточности, точности и актуальности данных.</w:t>
      </w:r>
      <w:r>
        <w:rPr>
          <w:rStyle w:val="FootnoteReference"/>
        </w:rPr>
        <w:footnoteReference w:id="68"/>
      </w:r>
      <w:r>
        <w:t xml:space="preserve"> </w:t>
      </w:r>
      <w:r>
        <w:t xml:space="preserve">Важное значение имеет и обновленная в 2025 году статья 9 Закона N 152-ФЗ: теперь согласие должно быть не просто подтверждаемым, но конкретным, предметным, информированным, сознательным и однозначным, а также оформляться отдельно от иных документов и сведений, которые подписывает либо подтверждает субъект. Для темы цифровой идентификации это существенно, поскольку в электронных интерфейсах согласие часто растворяется внутри пользовательского сценария.</w:t>
      </w:r>
      <w:r>
        <w:rPr>
          <w:rStyle w:val="FootnoteReference"/>
        </w:rPr>
        <w:footnoteReference w:id="69"/>
      </w:r>
    </w:p>
    <w:p>
      <w:pPr>
        <w:pStyle w:val="BodyText"/>
      </w:pPr>
      <w:r>
        <w:t xml:space="preserve">Особое место в общем контуре занимает статья 11 Закона N 152-ФЗ. Она определяет биометрические персональные данные функционально: как сведения о физиологических и биологических особенностях человека, на основании которых можно установить его личность, если оператор использует их именно для установления личности. Общее правило здесь строже, чем для обычных персональных данных: обработка допустима только при наличии письменного согласия субъекта, а перечень исключений закреплен прямо в законе. Дополнительно часть 3 статьи 11 закрепляет два принципиальных ограничения: предоставление биометрических данных не может быть обязательным вне прямо названных законом случаев, а оператор не вправе отказывать в обслуживании из-за отказа лица предоставить биометрию либо дать согласие на ее обработку, если федеральный закон не делает такую обработку обязательной.</w:t>
      </w:r>
      <w:r>
        <w:rPr>
          <w:rStyle w:val="FootnoteReference"/>
        </w:rPr>
        <w:footnoteReference w:id="70"/>
      </w:r>
      <w:r>
        <w:t xml:space="preserve"> </w:t>
      </w:r>
      <w:r>
        <w:t xml:space="preserve">Тем самым Закон N 152-ФЗ закладывает исходную презумпцию усиленной охраны биометрии, но сам по себе еще не отвечает на вопрос, как именно должна быть организована удаленная идентификация в условиях централизованной цифровой инфраструктуры.</w:t>
      </w:r>
    </w:p>
    <w:p>
      <w:pPr>
        <w:pStyle w:val="BodyText"/>
      </w:pPr>
      <w:r>
        <w:t xml:space="preserve">Именно этот пробел заполняет Закон N 572-ФЗ, который образует специальный контур регулирования. Он исходит из того, что Единая биометрическая система представляет собой государственную информационную систему, содержащую биометрические персональные данные физических лиц, векторы ЕБС и иную предусмотренную законом информацию; оператором такой системы выступает организация, определенная Правительством Российской Федерации.</w:t>
      </w:r>
      <w:r>
        <w:rPr>
          <w:rStyle w:val="FootnoteReference"/>
        </w:rPr>
        <w:footnoteReference w:id="71"/>
      </w:r>
      <w:r>
        <w:t xml:space="preserve"> </w:t>
      </w:r>
      <w:r>
        <w:t xml:space="preserve">В статье 3 закон очерчивает широкий круг участников, для которых ЕБС может использоваться: от государственных органов и органов местного самоуправления до банков, иных финансовых организаций, индивидуальных предпринимателей и нотариусов. Одновременно прямо допускается использование ЕБС и в иных правоотношениях, если это предусмотрено законодательством Российской Федерации.</w:t>
      </w:r>
      <w:r>
        <w:rPr>
          <w:rStyle w:val="FootnoteReference"/>
        </w:rPr>
        <w:footnoteReference w:id="72"/>
      </w:r>
      <w:r>
        <w:t xml:space="preserve"> </w:t>
      </w:r>
      <w:r>
        <w:t xml:space="preserve">Уже на уровне конструкции закона видно, что биометрическая идентификация рассматривается не как узкобанковский инструмент, а как универсальная инфраструктура доступа к услугам.</w:t>
      </w:r>
    </w:p>
    <w:p>
      <w:pPr>
        <w:pStyle w:val="BodyText"/>
      </w:pPr>
      <w:r>
        <w:t xml:space="preserve">При этом специальный закон заново формулирует базовые гарантии добровольности. Части 11-13 статьи 3 Закона N 572-ФЗ закрепляют, что предоставление физическими лицами своих биометрических персональных данных в целях, предусмотренных этим законом, не может быть обязательным; государственные органы, органы местного самоуправления, Банк России, организации финансового рынка, иные организации, индивидуальные предприниматели и нотариусы не вправе обусловливать оказание услуг, выполнение функций, продажу товаров либо объем соответствующих услуг и работ обязательным прохождением идентификации или аутентификации с применением биометрии; наконец, отказ лица от такой идентификации не может служить основанием для отказа в услуге или приеме на обслуживание.</w:t>
      </w:r>
      <w:r>
        <w:rPr>
          <w:rStyle w:val="FootnoteReference"/>
        </w:rPr>
        <w:footnoteReference w:id="73"/>
      </w:r>
    </w:p>
    <w:p>
      <w:pPr>
        <w:pStyle w:val="BodyText"/>
      </w:pPr>
      <w:r>
        <w:t xml:space="preserve">Специальный закон одновременно пытается институционализировать и субъектный контроль над биометрией. В той же статье 3 предусмотрено, что зарегистрированное в ЕСИА лицо через портал госуслуг вправе предоставить согласие на размещение и обработку биометрических данных в ЕБС, ознакомиться со сведениями о ранее данных согласиях, отозвать их, направить требование о блокировании, удалении либо уничтожении биометрических данных и векторов ЕБС, а также получить сведения о собственном отказе от сбора и размещения биометрии. Дополнительно закон сохраняет офлайн-гарантию: при личном присутствии в МФЦ гражданин вправе подать письменный отказ от сбора и размещения своих биометрических данных, а до момента отзыва такого отказа их сбор и размещение в ЕБС запрещены.</w:t>
      </w:r>
      <w:r>
        <w:rPr>
          <w:rStyle w:val="FootnoteReference"/>
        </w:rPr>
        <w:footnoteReference w:id="74"/>
      </w:r>
      <w:r>
        <w:t xml:space="preserve"> </w:t>
      </w:r>
      <w:r>
        <w:t xml:space="preserve">Эта часть нормативной модели принципиальна: субъекту предоставляется не только право «согласиться или не согласиться», но и набор процедур управления уже размещенными данными.</w:t>
      </w:r>
    </w:p>
    <w:p>
      <w:pPr>
        <w:pStyle w:val="BodyText"/>
      </w:pPr>
      <w:r>
        <w:t xml:space="preserve">Не менее важно, что Закон N 572-ФЗ связывает гарантии не только с согласием, но и с архитектурой допустимой обработки. Часть 8 статьи 3 прямо запрещает в ЕБС, в ее региональных сегментах и в аккредитованных системах обработку для целей идентификации и аутентификации геномной информации, сведений, отнесенных к государственной тайне, а также данных о ряде специальных категорий лиц, участие которых регулируется законодательством о полиции, ФСБ, оперативно-разыскной деятельности, государственной охране и иных силовых режимах.</w:t>
      </w:r>
      <w:r>
        <w:rPr>
          <w:rStyle w:val="FootnoteReference"/>
        </w:rPr>
        <w:footnoteReference w:id="75"/>
      </w:r>
      <w:r>
        <w:t xml:space="preserve"> </w:t>
      </w:r>
      <w:r>
        <w:t xml:space="preserve">Тем самым законодатель проводит границу не только по линии «есть согласие или нет», но и по линии допустимого предмета самой биометрической инфраструктуры.</w:t>
      </w:r>
    </w:p>
    <w:p>
      <w:pPr>
        <w:pStyle w:val="BodyText"/>
      </w:pPr>
      <w:r>
        <w:t xml:space="preserve">Внутренняя логика специального закона во многом строится на разграничении трех разных блоков согласия. Во-первых, статья 4 регулирует согласие на размещение биометрических данных в ЕБС и ЕСИА. После идентификации при личном присутствии банки, МФЦ и иные организации в предусмотренных законом случаях размещают биометрию и сопутствующие сведения на безвозмездной основе; при этом само лицо может размещать биометрические данные и через мобильное приложение ЕБС, а также через региональное мобильное приложение с последующей передачей данных в ЕБС. Во-вторых, статья 9 отдельно регулирует согласие на обработку персональных и биометрических данных для целей идентификации. В-третьих, статья 10 устанавливает самостоятельное согласие для целей аутентификации, то есть для подтверждения уже известной личности, волеизъявления либо полномочия на совершение действия.</w:t>
      </w:r>
      <w:r>
        <w:rPr>
          <w:rStyle w:val="FootnoteReference"/>
        </w:rPr>
        <w:footnoteReference w:id="76"/>
      </w:r>
      <w:r>
        <w:t xml:space="preserve"> </w:t>
      </w:r>
      <w:r>
        <w:t xml:space="preserve">Для практики это означает, что российское право не знает одного универсального «согласия на биометрию»: оно дробит его по стадиям жизненного цикла данных и по юридической функции процедуры.</w:t>
      </w:r>
    </w:p>
    <w:p>
      <w:pPr>
        <w:pStyle w:val="BodyText"/>
      </w:pPr>
      <w:r>
        <w:t xml:space="preserve">С этим связана и неоднородность правил электронной подписи. Согласие на размещение данных по статье 4 может быть подписано усиленной неквалифицированной электронной подписью, а в ряде случаев — простой электронной подписью, создаваемой оператором ЕБС; согласие на идентификацию по статье 9 может быть подписано усиленной неквалифицированной электронной подписью; согласие на аутентификацию по статье 10 может быть подписано как усиленной неквалифицированной подписью, так и простой электронной подписью, ключ которой создает соответствующий орган, банк, организация финансового рынка либо иной участник системы. Кроме того, статья 26 закрепляет переходное правило: до 1 января 2027 года физическое лицо вправе подписывать ряд согласий простой электронной подписью, ключ которой получен при личной явке в порядке, установленном Правительством РФ.</w:t>
      </w:r>
      <w:r>
        <w:rPr>
          <w:rStyle w:val="FootnoteReference"/>
        </w:rPr>
        <w:footnoteReference w:id="77"/>
      </w:r>
      <w:r>
        <w:t xml:space="preserve"> </w:t>
      </w:r>
      <w:r>
        <w:t xml:space="preserve">Такая модель повышает гибкость сервисов, но делает режим согласия менее интуитивным для гражданина.</w:t>
      </w:r>
    </w:p>
    <w:p>
      <w:pPr>
        <w:pStyle w:val="BodyText"/>
      </w:pPr>
      <w:r>
        <w:t xml:space="preserve">Законодательный контур дополняется рядом ключевых подзаконных актов. После 1 сентября 2024 года сам Закон N 572-ФЗ больше не фиксирует исчерпывающий перечень видов биометрических данных в тексте статьи 3; он отсылает к Правительству Российской Федерации, а Постановление от 1 апреля 2024 г. N 408 определяет, что действие закона распространяется на изображение лица и запись голоса.</w:t>
      </w:r>
      <w:r>
        <w:rPr>
          <w:rStyle w:val="FootnoteReference"/>
        </w:rPr>
        <w:footnoteReference w:id="78"/>
      </w:r>
      <w:r>
        <w:t xml:space="preserve"> </w:t>
      </w:r>
      <w:r>
        <w:t xml:space="preserve">Постановление Правительства РФ от 17 марта 2023 г. N 405, в свою очередь, утверждает правила получения согласия, указанного в пункте 6 части 5 статьи 26 Закона N 572-ФЗ, и форму согласия на размещение биометрических персональных данных в региональном сегменте ЕБС.</w:t>
      </w:r>
      <w:r>
        <w:rPr>
          <w:rStyle w:val="FootnoteReference"/>
        </w:rPr>
        <w:footnoteReference w:id="79"/>
      </w:r>
      <w:r>
        <w:t xml:space="preserve"> </w:t>
      </w:r>
      <w:r>
        <w:t xml:space="preserve">Для анализа нормативной модели это важное уточнение: акт N 405 регулирует не весь массив «согласий на биометрию», а специальный переходный режим регионального сегмента, поэтому подмена им общего порядка была бы методологически ошибочной.</w:t>
      </w:r>
    </w:p>
    <w:p>
      <w:pPr>
        <w:pStyle w:val="BodyText"/>
      </w:pPr>
      <w:r>
        <w:t xml:space="preserve">Другие подзаконные акты отвечают уже за институциональную и техническую сборку системы. Постановлением Правительства РФ от 31 мая 2023 г. N 883 утверждено Положение о ЕБС, в том числе о ее региональных сегментах, а Постановлением Правительства РФ от 21 июня 2024 г. N 834 функции оператора ЕБС возложены на АО «Центр Биометрических Технологий».</w:t>
      </w:r>
      <w:r>
        <w:rPr>
          <w:rStyle w:val="FootnoteReference"/>
        </w:rPr>
        <w:footnoteReference w:id="80"/>
      </w:r>
      <w:r>
        <w:t xml:space="preserve"> </w:t>
      </w:r>
      <w:r>
        <w:t xml:space="preserve">Приказ Минцифры России от 19 июня 2025 г. N 553 внес изменения в приложения N N 1, 2 и 5 к приказу N 453, то есть скорректировал технически значимый массив правил, определяющих параметры обработки биометрических данных в ЕБС; опубликованные разъяснительные материалы прямо связывают этот приказ с уточнением требований к параметрам изображения лица и записи голоса, а также с проверкой таких параметров в ЕБС.</w:t>
      </w:r>
      <w:r>
        <w:rPr>
          <w:rStyle w:val="FootnoteReference"/>
        </w:rPr>
        <w:footnoteReference w:id="81"/>
      </w:r>
      <w:r>
        <w:t xml:space="preserve"> </w:t>
      </w:r>
      <w:r>
        <w:t xml:space="preserve">Наконец, Постановление Правительства РФ от 7 августа 2025 г. N 1183 изменило действующие правительственные акты по вопросам использования биометрических данных, размещенных через мобильное приложение ЕБС, и дополнительно затронуло механизм подтверждения данных, размещенных в региональном сегменте, банками при наличии технической возможности.</w:t>
      </w:r>
      <w:r>
        <w:rPr>
          <w:rStyle w:val="FootnoteReference"/>
        </w:rPr>
        <w:footnoteReference w:id="82"/>
      </w:r>
      <w:r>
        <w:t xml:space="preserve"> </w:t>
      </w:r>
      <w:r>
        <w:t xml:space="preserve">Отсюда вытекает важный аналитический вывод: в российской модели реальные границы допустимой обработки задаются не только законом, но и постоянно обновляемым подзаконным техническим слоем.</w:t>
      </w:r>
    </w:p>
    <w:p>
      <w:pPr>
        <w:pStyle w:val="BodyText"/>
      </w:pPr>
      <w:r>
        <w:t xml:space="preserve">Существенная гарантия специального закона состоит в том, что он стремится вывести устойчивое хранение исходной биометрии из периметра частных операторов. Статья 15 Закона N 572-ФЗ запрещает в информационных системах организаций, осуществляющих аутентификацию на основе биометрии, организаций финансового рынка, иных организаций, индивидуальных предпринимателей и нотариусов обработку, включая сбор и хранение, используемых в целях идентификации биометрических данных, за исключением обработки для размещения таких данных в ЕБС. Для аутентификации закон также запрещает хранение биометрии, допускает лишь ограниченные случаи краткосрочного хранения для рассмотрения обращений субъектов, и по истечении установленного срока организация обязана уничтожить данные с использованием средств защиты информации, имеющих функцию автоматического уничтожения по истечении заданного времени.</w:t>
      </w:r>
      <w:r>
        <w:rPr>
          <w:rStyle w:val="FootnoteReference"/>
        </w:rPr>
        <w:footnoteReference w:id="83"/>
      </w:r>
      <w:r>
        <w:t xml:space="preserve"> </w:t>
      </w:r>
      <w:r>
        <w:t xml:space="preserve">Иными словами, специальный закон пытается защитить частную жизнь не только декларацией о добровольности, но и архитектурой централизованного хранения, при которой внешним участникам оставляется преимущественно роль канала подтверждения, а не самостоятельного владельца полноценных биометрических массивов.</w:t>
      </w:r>
    </w:p>
    <w:p>
      <w:pPr>
        <w:pStyle w:val="BodyText"/>
      </w:pPr>
      <w:r>
        <w:t xml:space="preserve">В 2025-2026 годах эта нормативная модель стала тесно соединяться с антифрод-контуром. Федеральный закон от 1 апреля 2025 г. N 41-ФЗ создал государственную информационную систему противодействия правонарушениям, совершаемым с использованием информационных и коммуникационных технологий, и одновременно усилил требования к дистанционному обслуживанию в финансовом секторе.</w:t>
      </w:r>
      <w:r>
        <w:rPr>
          <w:rStyle w:val="FootnoteReference"/>
        </w:rPr>
        <w:footnoteReference w:id="84"/>
      </w:r>
      <w:r>
        <w:t xml:space="preserve"> </w:t>
      </w:r>
      <w:r>
        <w:t xml:space="preserve">В обзоре по рынку МФО за 2025 год Банк России прямо указывает, что Закон N 41-ФЗ предусматривает использование микрофинансовыми организациями биометрии из ЕБС; для микрофинансовых компаний такая обязанность при выдаче онлайн-займов действует с 1 марта 2026 года, а для микрокредитных компаний — с 1 марта 2027 года.</w:t>
      </w:r>
      <w:r>
        <w:rPr>
          <w:rStyle w:val="FootnoteReference"/>
        </w:rPr>
        <w:footnoteReference w:id="85"/>
      </w:r>
      <w:r>
        <w:t xml:space="preserve"> </w:t>
      </w:r>
      <w:r>
        <w:t xml:space="preserve">Одновременно обзор операций без добровольного согласия клиентов за 2025 год показывает, что регулятор связывает усиление идентификационных и антифрод-мер с масштабами мошенничества: с 1 сентября 2025 года банки обязаны проводить обязательные антифрод-мероприятия при выдаче потребительских кредитов и наличных через банкоматы, а с 1 октября 2025 года в мобильных приложениях крупных банков должен быть специальный сервис для пострадавших клиентов.</w:t>
      </w:r>
      <w:r>
        <w:rPr>
          <w:rStyle w:val="FootnoteReference"/>
        </w:rPr>
        <w:footnoteReference w:id="86"/>
      </w:r>
    </w:p>
    <w:p>
      <w:pPr>
        <w:pStyle w:val="BodyText"/>
      </w:pPr>
      <w:r>
        <w:t xml:space="preserve">Наиболее наглядно эта трансформация проявляется в материалах Банка России о развитии финансового рынка. В опубликованных в марте 2026 года итогах работы за 2025 год Банк России прямо называет ЕБС одним из ключевых компонентов национальной цифровой инфраструктуры финансового рынка, отмечает обязательное использование биометрии микрофинансовыми компаниями с марта 2026 года и фиксирует развитие смежных сервисов: ускорение регистрации подтвержденной биометрии в банках, использование планшетов для ее сбора, продолжение работы над Платформой коммерческих согласий и пилотирование ее функционала с участием 10 банков.</w:t>
      </w:r>
      <w:r>
        <w:rPr>
          <w:rStyle w:val="FootnoteReference"/>
        </w:rPr>
        <w:footnoteReference w:id="87"/>
      </w:r>
      <w:r>
        <w:t xml:space="preserve"> </w:t>
      </w:r>
      <w:r>
        <w:t xml:space="preserve">На той же логике построены и «Основные направления развития финансового рынка Российской Федерации на 2026 год и период 2027 и 2028 годов», где ЕБС, открытые API и платформа коммерческих согласий рассматриваются уже как долгосрочная архитектура рынка.</w:t>
      </w:r>
      <w:r>
        <w:rPr>
          <w:rStyle w:val="FootnoteReference"/>
        </w:rPr>
        <w:footnoteReference w:id="88"/>
      </w:r>
    </w:p>
    <w:p>
      <w:pPr>
        <w:pStyle w:val="BodyText"/>
      </w:pPr>
      <w:r>
        <w:t xml:space="preserve">Отсюда становится понятным, почему для описания действующей нормативной модели уже недостаточно ссылаться только на классическую пару «оператор — субъект данных». Банк России на странице об открытых API подчеркивает, что обмен клиентскими данными между организациями возможен исключительно с согласия клиента, а создаваемая совместно с Минцифры Платформа коммерческих согласий должна дать пользователю возможность в формате «одного окна» видеть, какие данные, кому, на какой срок и в рамках какой услуги передаются, а при необходимости инициировать отзыв ранее предоставленного согласия.</w:t>
      </w:r>
      <w:r>
        <w:rPr>
          <w:rStyle w:val="FootnoteReference"/>
        </w:rPr>
        <w:footnoteReference w:id="89"/>
      </w:r>
      <w:r>
        <w:t xml:space="preserve"> </w:t>
      </w:r>
      <w:r>
        <w:t xml:space="preserve">Это означает, что институт согласия постепенно выносится из локального интерфейса конкретного банка или сервиса в надсистемную инфраструктуру управления данными. Смежная цифровая практика развивается и на финансовых платформах: Банк России определяет их как электронные площадки, позволяющие круглосуточно приобретать финансовые продукты от разных организаций в онлайн-режиме, указывает на обязанность операторов таких платформ обеспечивать надежность, безопасность и сохранность персональных данных, а также прямо отмечает, что обработка персональных данных производится только с согласия клиента.</w:t>
      </w:r>
      <w:r>
        <w:rPr>
          <w:rStyle w:val="FootnoteReference"/>
        </w:rPr>
        <w:footnoteReference w:id="90"/>
      </w:r>
      <w:r>
        <w:t xml:space="preserve"> </w:t>
      </w:r>
      <w:r>
        <w:t xml:space="preserve">В сопряжении с данными о распространении POS-займов на маркетплейсах и онлайн-площадках это показывает, что защита персональных и биометрических данных все чаще реализуется не в изолированном отношении между человеком и одним оператором, а внутри платформенной среды, где несколько участников одновременно вовлечены в идентификацию, оценку клиента и обмен его данными.</w:t>
      </w:r>
      <w:r>
        <w:rPr>
          <w:rStyle w:val="FootnoteReference"/>
        </w:rPr>
        <w:footnoteReference w:id="91"/>
      </w:r>
    </w:p>
    <w:p>
      <w:pPr>
        <w:pStyle w:val="BodyText"/>
      </w:pPr>
      <w:r>
        <w:t xml:space="preserve">Наконец, официальные разъяснения Банка России подтверждают, что для гражданина ЕБС уже превратилась из экспериментального сервиса в повседневный канал управления идентификацией. В FAQ, обновленном 18 февраля 2026 года, регулятор указывает, что проверить регистрацию в ЕБС можно через портал госуслуг, приложение «Госуслуги.Биометрия», портал EBS и мобильное приложение системы; там же разъясняется, что биометрические данные в ЕБС хранятся в зашифрованном и обезличенном виде отдельно от иных персональных данных, которые находятся в ЕСИА, а с использованием удаленной идентификации граждане могут дистанционно открывать счета и вклады, получать кредиты, переводить средства и оплачивать покупки.</w:t>
      </w:r>
      <w:r>
        <w:rPr>
          <w:rStyle w:val="FootnoteReference"/>
        </w:rPr>
        <w:footnoteReference w:id="92"/>
      </w:r>
      <w:r>
        <w:t xml:space="preserve"> </w:t>
      </w:r>
      <w:r>
        <w:t xml:space="preserve">Для нормативной модели это означает, что закон, подзаконное регулирование и регуляторные разъяснения работают совместно: закон закрепляет право и запрет дискриминации, подзаконные акты описывают процедуру и технические параметры, а регулятор переводит их в понятные рынку и пользователю сценарии.</w:t>
      </w:r>
    </w:p>
    <w:p>
      <w:pPr>
        <w:pStyle w:val="BodyText"/>
      </w:pPr>
      <w:r>
        <w:t xml:space="preserve">Итак, российская нормативная модель защиты персональных и биометрических данных в условиях цифровой идентификации имеет двойственную природу. Она уже содержит ряд существенных гарантий: общие принципы Закона N 152-ФЗ, усиленный режим статьи 11 для биометрии, ужесточенные требования к согласию после поправок 2025 года, добровольность предоставления биометрии и запрет отказа в услуге по Закону N 572-ФЗ, возможность управлять согласиями и отказами через госуслуги и МФЦ, а также ограничения на хранение и обработку биометрии вне ЕБС. Но эта модель остается фрагментированной: значительная часть реально работающих гарантий смещена в подзаконный и технический уровень, режим согласия раздроблен на несколько разных процедур, а дальнейшее развитие системы в 2025-2026 годах идет прежде всего под влиянием антифрода, финансовой инфраструктуры и платформенного обмена данными. Следовательно, действующее право уже создало каркас защиты, но пока еще не сформировало полностью цельный и прозрачный конституционно-правовой механизм, в котором пределы допустимой биометрической идентификации были бы одинаково ясны во всех ключевых цифровых средах.</w:t>
      </w:r>
    </w:p>
    <w:bookmarkEnd w:id="93"/>
    <w:bookmarkStart w:id="119" w:name="Xb42a28196469a8a8d04d4e8e317493b940355bc"/>
    <w:p>
      <w:pPr>
        <w:pStyle w:val="Heading2"/>
      </w:pPr>
      <w:r>
        <w:t xml:space="preserve">2.2. Единая биометрическая система и институт согласия как элементы механизма гарантий</w:t>
      </w:r>
    </w:p>
    <w:p>
      <w:pPr>
        <w:pStyle w:val="FirstParagraph"/>
      </w:pPr>
      <w:r>
        <w:t xml:space="preserve">Если в подпункте 2.1 был показан нормативный каркас защиты персональных и биометрических данных, то теперь необходимо перейти к тому механизму, в котором этот каркас приобретает практический смысл. Таким механизмом в современной российской модели стала Единая биометрическая система. Именно через нее законодатель пытается одновременно решить две задачи, находящиеся в конституционно-чувствительном напряжении: упростить подтверждение личности в цифровой среде и одновременно ограничить неконтролируемое обращение биометрии у множества частных и публичных участников. Поэтому ЕБС и институт согласия следует рассматривать не как отдельные технические процедуры, а как центральный узел всей модели гарантий. Их значение заключается не только в том, что они разрешают или запрещают конкретную операцию, но и в том, что они задают архитектуру контроля над данными, распределяют риски между субъектом, оператором и пользователями системы и формируют реальный объем свободы выбора для гражданина.</w:t>
      </w:r>
      <w:r>
        <w:rPr>
          <w:rStyle w:val="FootnoteReference"/>
        </w:rPr>
        <w:footnoteReference w:id="94"/>
      </w:r>
      <w:r>
        <w:rPr>
          <w:rStyle w:val="FootnoteReference"/>
        </w:rPr>
        <w:footnoteReference w:id="95"/>
      </w:r>
    </w:p>
    <w:p>
      <w:pPr>
        <w:pStyle w:val="BodyText"/>
      </w:pPr>
      <w:r>
        <w:t xml:space="preserve">Специфика ЕБС как механизма гарантий состоит в ее двойственной логике. С одной стороны, государство и регулятор представляют централизацию биометрии как средство защиты личности. Закон N 572-ФЗ запрещает большинству внешних участников системы устойчиво собирать и хранить биометрические персональные данные, используемые для идентификации и аутентификации, вне модели, прямо предусмотренной законом; тем самым сокращается число локальных хранилищ, в которых биометрия могла бы обращаться без единых стандартов защиты.</w:t>
      </w:r>
      <w:r>
        <w:rPr>
          <w:rStyle w:val="FootnoteReference"/>
        </w:rPr>
        <w:footnoteReference w:id="96"/>
      </w:r>
      <w:r>
        <w:t xml:space="preserve"> </w:t>
      </w:r>
      <w:r>
        <w:t xml:space="preserve">Официальный сайт ЕБС подчеркивает именно эту идею: биометрические данные хранятся как селфи и запись голоса, зашифрованы, отделены от других персональных данных, а сама система позиционируется как «закрытый контур хранения», в пределах которого биометрия не передается третьим лицам как свободно обращающийся массив данных.</w:t>
      </w:r>
      <w:r>
        <w:rPr>
          <w:rStyle w:val="FootnoteReference"/>
        </w:rPr>
        <w:footnoteReference w:id="97"/>
      </w:r>
      <w:r>
        <w:t xml:space="preserve"> </w:t>
      </w:r>
      <w:r>
        <w:t xml:space="preserve">В таком представлении централизация должна работать как гарантия минимизации периметра хранения.</w:t>
      </w:r>
    </w:p>
    <w:p>
      <w:pPr>
        <w:pStyle w:val="BodyText"/>
      </w:pPr>
      <w:r>
        <w:t xml:space="preserve">С другой стороны, конституционно-правовой анализ показывает, что та же самая централизация порождает и особый риск. Чем меньше число точек хранения, тем легче стандартизировать защиту; но чем значимее единый контур, тем чувствительнее последствия сбоя, компрометации или ошибочного управленческого решения внутри этого контура. В отношении обычных персональных данных распределенная архитектура часто критикуется за избыточность операторов. В отношении биометрии у централизованной модели возникает обратная проблема: даже при наличии формальных ограничений на доступ и передачу система аккумулирует необратимо чувствительные идентификационные сведения, которые не могут быть «заменены» субъектом по аналогии с паролем либо документом. Поэтому сама ЕБС не может рассматриваться как автоматическая гарантия защиты; она является лишь особой организационной моделью, которая уменьшает одни риски, но одновременно концентрирует другие. Такой вывод прямо не сформулирован в законе, однако вытекает из сочетания запрета локального хранения и самой архитектуры централизованного контура.</w:t>
      </w:r>
      <w:r>
        <w:rPr>
          <w:rStyle w:val="FootnoteReference"/>
        </w:rPr>
        <w:footnoteReference w:id="98"/>
      </w:r>
    </w:p>
    <w:p>
      <w:pPr>
        <w:pStyle w:val="BodyText"/>
      </w:pPr>
      <w:r>
        <w:t xml:space="preserve">Именно по этой причине центральным элементом гарантий становится институт согласия. Закон N 572-ФЗ не ограничивается одним универсальным согласием «на биометрию». Как уже было показано в предыдущем подпункте, он строит многоступенчатую систему: согласие на размещение биометрических данных в ЕБС и ЕСИА, согласие на идентификацию, согласие на аутентификацию, а в переходной части — специальные формы согласия для региональных сегментов.</w:t>
      </w:r>
      <w:r>
        <w:rPr>
          <w:rStyle w:val="FootnoteReference"/>
        </w:rPr>
        <w:footnoteReference w:id="99"/>
      </w:r>
      <w:r>
        <w:rPr>
          <w:rStyle w:val="FootnoteReference"/>
        </w:rPr>
        <w:footnoteReference w:id="100"/>
      </w:r>
      <w:r>
        <w:t xml:space="preserve"> </w:t>
      </w:r>
      <w:r>
        <w:t xml:space="preserve">В результате российская модель пытается связать волеизъявление субъекта не с абстрактным допуском к любому обращению биометрии, а с отдельными стадиями жизненного цикла данных. Это можно оценивать двояко. Положительная сторона состоит в том, что законодатель отказывается от слишком грубой конструкции, при которой единоразовое волеизъявление поглощало бы все последующие сценарии использования. Однако отрицательная сторона заключается в том, что для обычного пользователя эта система становится трудно обозримой: юридически согласие дробится, а практически человек чаще всего воспринимает взаимодействие с системой как одну непрерывную цифровую услугу.</w:t>
      </w:r>
    </w:p>
    <w:p>
      <w:pPr>
        <w:pStyle w:val="BodyText"/>
      </w:pPr>
      <w:r>
        <w:t xml:space="preserve">Публичные интерфейсы ЕБС показывают, что законодательная идея контроля над согласием действительно доводится до уровня пользовательского инструмента. В разделе помощи на официальном сайте ЕБС прямо указано, что управлять своей биометрией можно через портал Госуслуг: в личном кабинете отображаются факт регистрации биометрии, срок ее действия и место регистрации; там же можно удалить биометрию «в один клик». Дополнительно в разделе «Согласия» пользователь может отозвать согласия на обработку данных у отдельных организаций. Если же гражданин не хочет, чтобы его биометрия вообще размещалась в системе, он вправе подать в МФЦ письменный отказ от регистрации, а при изменении решения — отозвать такой отказ также через МФЦ.</w:t>
      </w:r>
      <w:r>
        <w:rPr>
          <w:rStyle w:val="FootnoteReference"/>
        </w:rPr>
        <w:footnoteReference w:id="101"/>
      </w:r>
      <w:r>
        <w:rPr>
          <w:rStyle w:val="FootnoteReference"/>
        </w:rPr>
        <w:footnoteReference w:id="102"/>
      </w:r>
      <w:r>
        <w:t xml:space="preserve"> </w:t>
      </w:r>
      <w:r>
        <w:t xml:space="preserve">Следовательно, институт согласия в российской модели выступает не только как момент первоначального допуска к обработке, но и как процедура последующего управления данными.</w:t>
      </w:r>
    </w:p>
    <w:p>
      <w:pPr>
        <w:pStyle w:val="BodyText"/>
      </w:pPr>
      <w:r>
        <w:t xml:space="preserve">Эта особенность действительно усиливает гарантии по сравнению с более ранними моделями, где согласие часто существовало лишь как бумажный документ или скрытая часть общего договора. В ЕБС контроль субъекта получил хотя бы минимально наблюдаемую цифровую форму: пользователь может увидеть, зарегистрирована ли его биометрия, каков ее тип, где она была собрана и какие согласия на обработку данных им даны. В конституционно-правовом смысле это сближает российскую модель с более сильным пониманием информационной автономии, при котором человек не только один раз соглашается на обработку, но и способен проверять состояние собственного цифрового профиля. В этом же направлении работают и поправки к статье 9 Закона N 152-ФЗ, усилившие требования к самостоятельности и определенности согласия как юридического действия.</w:t>
      </w:r>
      <w:r>
        <w:rPr>
          <w:rStyle w:val="FootnoteReference"/>
        </w:rPr>
        <w:footnoteReference w:id="103"/>
      </w:r>
      <w:r>
        <w:rPr>
          <w:rStyle w:val="FootnoteReference"/>
        </w:rPr>
        <w:footnoteReference w:id="104"/>
      </w:r>
    </w:p>
    <w:p>
      <w:pPr>
        <w:pStyle w:val="BodyText"/>
      </w:pPr>
      <w:r>
        <w:t xml:space="preserve">Однако реальная сила такой гарантии ограничена. Формально у субъекта есть право удалить биометрию и отозвать согласия, но это не означает полного восстановления контроля над всеми последствиями уже совершенного цифрового использования. Публично доступные процедуры сосредоточены на прекращении дальнейшего использования, удалении данных из системы и отзыве конкретных согласий, но не раскрывают для гражданина детальный порядок устранения всех эффектов предыдущих идентификаций и аутентификаций у тех участников, которые уже получили результат проверки либо использовали его для предоставления услуги. Иными словами, субъект управляет прежде всего будущим допуском к обработке, тогда как информационный след уже совершенных операций остается менее прозрачным. Этот вывод следует не из опровержения закона, а из сопоставления того, какие средства контроля прямо доступны в ЕБС и на Госуслугах, и какие последствия цифрового оборота неизбежно возникают после каждой завершенной операции.</w:t>
      </w:r>
      <w:r>
        <w:rPr>
          <w:rStyle w:val="FootnoteReference"/>
        </w:rPr>
        <w:footnoteReference w:id="105"/>
      </w:r>
      <w:r>
        <w:rPr>
          <w:rStyle w:val="FootnoteReference"/>
        </w:rPr>
        <w:footnoteReference w:id="106"/>
      </w:r>
    </w:p>
    <w:p>
      <w:pPr>
        <w:pStyle w:val="BodyText"/>
      </w:pPr>
      <w:r>
        <w:t xml:space="preserve">Практическая сторона механизма гарантий раскрывается и через дифференциацию биометрии по категориям. На официальном сайте ЕБС прямо указано, что система использует упрощенную, стандартную и подтвержденную биометрию, различающиеся по сроку действия и набору доступных сервисов: для упрощенной и стандартной биометрии называется трехлетний срок действия, для подтвержденной — пятилетний. Одновременно официальный портал связывает разные категории биометрии с различным объемом допуска к услугам: от оплаты покупок и проезда до дистанционного банковского обслуживания, оформления УКЭП, заселения в гостиницу, получения услуг в МФЦ и подтверждения возраста.</w:t>
      </w:r>
      <w:r>
        <w:rPr>
          <w:rStyle w:val="FootnoteReference"/>
        </w:rPr>
        <w:footnoteReference w:id="107"/>
      </w:r>
      <w:r>
        <w:t xml:space="preserve"> </w:t>
      </w:r>
      <w:r>
        <w:t xml:space="preserve">Такое разграничение важно не только технически. Оно показывает, что государство пытается встроить в систему элемент риск-ориентированного подхода: не любая форма биометрии ведет к одинаковым юридическим последствиям, а глубина допуска зависит от уровня подтверждения идентификационного профиля.</w:t>
      </w:r>
    </w:p>
    <w:p>
      <w:pPr>
        <w:pStyle w:val="BodyText"/>
      </w:pPr>
      <w:r>
        <w:t xml:space="preserve">Одновременно эта же дифференциация способствует повседневной нормализации биометрических сервисов. Из официальных материалов Банка России следует, что в 2025 году сбор упрощенной и стандартной биометрии был оптимизирован в приложении «Госуслуги.Биометрия», а регистрация подтвержденной биометрии ускорена в банковских отделениях; кроме стационарного оборудования, сотрудники банков получили возможность использовать планшеты, что сократило продолжительность процедуры до 2-5 минут и позволило проводить выездную регистрацию.</w:t>
      </w:r>
      <w:r>
        <w:rPr>
          <w:rStyle w:val="FootnoteReference"/>
        </w:rPr>
        <w:footnoteReference w:id="108"/>
      </w:r>
      <w:r>
        <w:t xml:space="preserve"> </w:t>
      </w:r>
      <w:r>
        <w:t xml:space="preserve">В результате ЕБС становится не только более защищенной, но и более доступной. С точки зрения прав личности это имеет амбивалентный эффект. Снижение организационных барьеров укрепляет реальную возможность добровольного участия: человеку проще зарегистрировать и затем использовать биометрию без дополнительных издержек. Но одновременно такая удобная инфраструктура постепенно превращает биометрический сценарий в наиболее простой и быстрый путь доступа к услуге, а небиометрические альтернативы рискуют стать менее удобными и, следовательно, менее привлекательными.</w:t>
      </w:r>
    </w:p>
    <w:p>
      <w:pPr>
        <w:pStyle w:val="BodyText"/>
      </w:pPr>
      <w:r>
        <w:t xml:space="preserve">Именно здесь проблема согласия выходит за пределы формально-юридического вопроса о наличии либо отсутствии подписи. В конституционно-правовом смысле добровольность означает не только отсутствие прямого принуждения, но и наличие сопоставимой альтернативы. Официальный сайт ЕБС и материалы Банка России демонстрируют стремительное расширение числа сервисов, для которых биометрия становится удобным каналом доступа: микрозайм онлайн, обслуживание в МФЦ, заселение в гостиницу, подтверждение возраста, оплата проезда, дистанционное банковское обслуживание, а также новые транспортные сценарии, включая посадку на поезд.</w:t>
      </w:r>
      <w:r>
        <w:rPr>
          <w:rStyle w:val="FootnoteReference"/>
        </w:rPr>
        <w:footnoteReference w:id="109"/>
      </w:r>
      <w:r>
        <w:rPr>
          <w:rStyle w:val="FootnoteReference"/>
        </w:rPr>
        <w:footnoteReference w:id="110"/>
      </w:r>
      <w:r>
        <w:rPr>
          <w:rStyle w:val="FootnoteReference"/>
        </w:rPr>
        <w:footnoteReference w:id="111"/>
      </w:r>
      <w:r>
        <w:t xml:space="preserve"> </w:t>
      </w:r>
      <w:r>
        <w:t xml:space="preserve">Пока это еще не позволяет говорить о повсеместной принудительности биометрии, и такой вывод был бы чрезмерным. Но уже позволяет говорить о риске инфраструктурно предпочтительной модели, при которой формально свободный выбор все сильнее зависит от того, насколько обременительной оказывается небиометрическая альтернатива.</w:t>
      </w:r>
    </w:p>
    <w:p>
      <w:pPr>
        <w:pStyle w:val="BodyText"/>
      </w:pPr>
      <w:r>
        <w:t xml:space="preserve">Особое значение для современного понимания согласия имеет развитие Платформы коммерческих согласий и открытых API. На странице Банка России об открытых API прямо указано, что обмен клиентскими данными между организациями возможен исключительно с согласия клиента, а совместно с Минцифры создаваемая Платформа коммерческих согласий на базе Госуслуг должна позволить пользователю видеть все выданные согласия и при необходимости инициировать их отзыв. В итогах работы Банка России за 2025 год дополнительно отмечено, что правовые условия для запуска платформы уже созданы, а ее функционал пилотируется с участием 10 банков.</w:t>
      </w:r>
      <w:r>
        <w:rPr>
          <w:rStyle w:val="FootnoteReference"/>
        </w:rPr>
        <w:footnoteReference w:id="112"/>
      </w:r>
      <w:r>
        <w:rPr>
          <w:rStyle w:val="FootnoteReference"/>
        </w:rPr>
        <w:footnoteReference w:id="113"/>
      </w:r>
      <w:r>
        <w:t xml:space="preserve"> </w:t>
      </w:r>
      <w:r>
        <w:t xml:space="preserve">Для темы диплома это принципиально важно: согласие начинает пониматься не как локальный документ у конкретного оператора, а как управляемая межсистемная инфраструктура. Иначе говоря, российская правовая система постепенно переносит акцент с момента получения согласия на возможность его последующего учета, наблюдения и отзыва в цифровой среде.</w:t>
      </w:r>
    </w:p>
    <w:p>
      <w:pPr>
        <w:pStyle w:val="BodyText"/>
      </w:pPr>
      <w:r>
        <w:t xml:space="preserve">Вместе с тем Платформа коммерческих согласий не устраняет всех проблем, которые характерны для биометрического контура. Во-первых, она относится прежде всего к обмену данными между организациями с помощью открытых API и не поглощает весь жизненный цикл биометрической идентификации. Во-вторых, она улучшает обозримость согласий, но сама по себе не снимает вопроса о том, насколько субъект понимает последствия подключения к многоуровневой системе, где биометрия, государственная идентификационная инфраструктура, финансовый сервис и межорганизационный обмен данными фактически соединены в одном пользовательском действии. В-третьих, даже наиболее прозрачная цифровая платформа не отменяет информационного неравенства между гражданином и сложной экосистемой операторов и пользователей данных. Поэтому институт согласия в современных условиях следует оценивать не как завершенную гарантию, а как механизм, который требует постоянного институционального усиления через понятные интерфейсы, разделение сценариев, ясные сроки, проверяемый отзыв и недвусмысленное описание последствий выбора.</w:t>
      </w:r>
    </w:p>
    <w:p>
      <w:pPr>
        <w:pStyle w:val="BodyText"/>
      </w:pPr>
      <w:r>
        <w:t xml:space="preserve">Сказанное особенно отчетливо видно в финансовом секторе, где ЕБС все теснее соединяется с защитой от мошенничества. Банк России прямо указывает, что с 1 марта 2026 года микрофинансовые компании должны использовать биометрию при дистанционном обслуживании клиентов, а для микрокредитных компаний переходный период продлен до 1 марта 2027 года.</w:t>
      </w:r>
      <w:r>
        <w:rPr>
          <w:rStyle w:val="FootnoteReference"/>
        </w:rPr>
        <w:footnoteReference w:id="114"/>
      </w:r>
      <w:r>
        <w:rPr>
          <w:rStyle w:val="FootnoteReference"/>
        </w:rPr>
        <w:footnoteReference w:id="115"/>
      </w:r>
      <w:r>
        <w:t xml:space="preserve"> </w:t>
      </w:r>
      <w:r>
        <w:t xml:space="preserve">Здесь согласие и ЕБС работают уже не только как приватностный механизм, но и как средство предотвращения подмены личности. Такой поворот усиливает публичное оправдание системы, но одновременно усложняет конституционную оценку. Чем сильнее биометрическая идентификация связывается с безопасностью финансового рынка и защитой клиента, тем труднее в практическом смысле отделить действительно добровольный выбор от регуляторно и инфраструктурно предопределенного поведения. Следовательно, проблема согласия в эпоху ЕБС состоит не в том, существует ли оно формально, а в том, сохраняет ли оно реальное содержание при расширении сфер обязательного или практически неизбежного цифрового допуска.</w:t>
      </w:r>
    </w:p>
    <w:p>
      <w:pPr>
        <w:pStyle w:val="BodyText"/>
      </w:pPr>
      <w:r>
        <w:t xml:space="preserve">Промежуточный вывод по подпункту 2.2 состоит в следующем. ЕБС и институт согласия действительно образуют важнейшие элементы механизма гарантий: через централизацию хранения и ограничение локальных массивов биометрии, через запрет навязывания биометрической идентификации, через цифровые инструменты управления биометрией на Госуслугах, через возможность удаления данных и отзыва согласий, а также через развитие платформенной модели учета согласий на межорганизационный обмен данными.</w:t>
      </w:r>
      <w:r>
        <w:rPr>
          <w:rStyle w:val="FootnoteReference"/>
        </w:rPr>
        <w:footnoteReference w:id="116"/>
      </w:r>
      <w:r>
        <w:rPr>
          <w:rStyle w:val="FootnoteReference"/>
        </w:rPr>
        <w:footnoteReference w:id="117"/>
      </w:r>
      <w:r>
        <w:rPr>
          <w:rStyle w:val="FootnoteReference"/>
        </w:rPr>
        <w:footnoteReference w:id="118"/>
      </w:r>
      <w:r>
        <w:t xml:space="preserve"> </w:t>
      </w:r>
      <w:r>
        <w:t xml:space="preserve">Но эти же элементы не устраняют ключевых рисков системы. Централизованное хранение концентрирует чувствительные данные в одном инфраструктурном контуре; многоуровневая архитектура согласий затрудняет реальную информированность субъекта; а расширение повседневных сервисов и антифрод-обязанностей делает биометрический канал все более предпочтительным. Особенно заметно это в ситуациях, когда формальная альтернатива биометрии сохраняется, но различается с ней по скорости, удобству и объему фактически доступных действий. Поэтому в действующей российской модели ЕБС и согласие следует оценивать не как окончательное решение проблемы защиты частной жизни, а как частично работающий механизм, который уже создает значимые гарантии, но еще не снимает вопрос о границах допустимого давления на выбор субъекта и о достаточности его реального контроля над своими биометрическими данными.</w:t>
      </w:r>
    </w:p>
    <w:bookmarkEnd w:id="119"/>
    <w:bookmarkStart w:id="147" w:name="Xe98fdbb1b9dff433b7d0969804f30ae78b577d2"/>
    <w:p>
      <w:pPr>
        <w:pStyle w:val="Heading2"/>
      </w:pPr>
      <w:r>
        <w:t xml:space="preserve">2.3. Судебная, квазисудебная и правоприменительная практика</w:t>
      </w:r>
    </w:p>
    <w:p>
      <w:pPr>
        <w:pStyle w:val="FirstParagraph"/>
      </w:pPr>
      <w:r>
        <w:t xml:space="preserve">Оценка того, насколько реально работают закрепленные в законе гарантии защиты персональных и биометрических данных, невозможна без обращения к практике. Однако именно здесь обнаруживается одна из главных особенностей российской модели: нормативный массив в сфере цифровой идентификации развивается быстрее, чем судебная методология его конституционной оценки. По состоянию на 16 апреля 2026 г. нельзя говорить о сложившемся массиве опубликованных судебных актов, специально посвященных Единой биометрической системе, цифровому согласию или допустимым пределам биометрической аутентификации в повседневных сервисах. Поэтому подпункт 2.3 неизбежно должен рассматривать практику в более широком смысле: как совокупность правовых позиций Конституционного Суда РФ, международного стандарта, позволяющего увидеть недостающие элементы анализа, и регуляторно-правоприменительных решений Банка России и инфраструктурных операторов, которые сегодня фактически задают границы допустимого использования биометрии.</w:t>
      </w:r>
      <w:r>
        <w:rPr>
          <w:rStyle w:val="FootnoteReference"/>
        </w:rPr>
        <w:footnoteReference w:id="120"/>
      </w:r>
      <w:r>
        <w:rPr>
          <w:rStyle w:val="FootnoteReference"/>
        </w:rPr>
        <w:footnoteReference w:id="121"/>
      </w:r>
      <w:r>
        <w:rPr>
          <w:rStyle w:val="FootnoteReference"/>
        </w:rPr>
        <w:footnoteReference w:id="122"/>
      </w:r>
    </w:p>
    <w:p>
      <w:pPr>
        <w:pStyle w:val="BodyText"/>
      </w:pPr>
      <w:r>
        <w:t xml:space="preserve">Для российского конституционно-правового анализа ключевым ориентиром по-прежнему остается Постановление Конституционного Суда РФ от 25 мая 2021 г. N 22-П по делу ООО «МедРейтинг». Формально оно не касалось биометрии: предметом спора была обработка и распространение персональных данных медицинского работника в сетевом издании без его согласия. Тем не менее правовые позиции Суда имеют более широкое значение. Конституционный Суд указал, что персональные данные в качестве исходного положения относятся к сведениям о частной жизни и подлежат конституционной защите; одновременно между правом на неприкосновенность частной жизни и свободой распространения информации нет безусловного приоритета одной ценности над другой. Требуется баланс, который должен устанавливаться с учетом характера сведений, общественного интереса к ним, их актуальности, наличия процедур исправления и удаления противоправного контента, а также возможности судебного вмешательства как крайней меры.</w:t>
      </w:r>
      <w:r>
        <w:rPr>
          <w:rStyle w:val="FootnoteReference"/>
        </w:rPr>
        <w:footnoteReference w:id="123"/>
      </w:r>
    </w:p>
    <w:p>
      <w:pPr>
        <w:pStyle w:val="BodyText"/>
      </w:pPr>
      <w:r>
        <w:t xml:space="preserve">В контексте темы диплома это решение важно в двух аспектах. Во-первых, оно подтверждает, что конституционная защита информации о личности не исчерпывается проверкой факта первоначального согласия. Даже если данные однажды были правомерно раскрыты или использованы, дальнейшее обращение с ними должно отвечать критериям актуальности, соразмерности и добросовестности. Во-вторых, из логики Постановления N 22-П следует, что цифровая среда сама по себе не отменяет необходимости индивидуализированной оценки последствий обработки для конкретного лица. Иными словами, Конституционный Суд уже предложил общий язык баланса для споров о данных: необходимо соотносить общественно значимую цель, характер затрагиваемых сведений, риски для личности и доступные средства защиты.</w:t>
      </w:r>
      <w:r>
        <w:rPr>
          <w:rStyle w:val="FootnoteReference"/>
        </w:rPr>
        <w:footnoteReference w:id="124"/>
      </w:r>
    </w:p>
    <w:p>
      <w:pPr>
        <w:pStyle w:val="BodyText"/>
      </w:pPr>
      <w:r>
        <w:t xml:space="preserve">Но именно на этой точке видно и ограничение нынешней российской судебной практики. Дело «МедРейтинг» касалось персональных данных, которые были связаны с профессиональной деятельностью и в определенной части уже подлежали раскрытию по федеральному закону. Суд не анализировал необратимость биометрических идентификаторов, проблему массовой автоматизированной идентификации, централизованное государственное хранение шаблонов, асимметрию между оператором и субъектом в цифровом интерфейсе согласия, а также эффект постепенного превращения биометрического канала в практически предпочтительный способ доступа к услуге. Поэтому Постановление N 22-П дает лишь общую конституционную рамку, но не создает специальной методологии для оценки именно биометрического вмешательства. Оно позволяет утверждать, что баланс нужен, однако почти не отвечает на вопрос, как именно его выстраивать, когда вмешательство принимает форму непрерывной или потенциально массовой идентификации по лицу и голосу.</w:t>
      </w:r>
    </w:p>
    <w:p>
      <w:pPr>
        <w:pStyle w:val="BodyText"/>
      </w:pPr>
      <w:r>
        <w:t xml:space="preserve">Не менее показательно и Определение Конституционного Суда РФ от 28 сентября 2023 г. N 2201-О, вынесенное по жалобе гражданина на часть 1 статьи 9 Закона о персональных данных. Заявитель оспаривал ситуацию, в которой участие в конкурсе на должность было поставлено в зависимость от предоставления согласия на обработку персональных данных по установленной форме, а не в той редакции, которую он сформулировал самостоятельно. Конституционный Суд отказал в принятии жалобы, указав, что само по себе регулирование, допускающее установление оператором формы согласия на обработку персональных данных, не противоречит Конституции, а оценка того, соответствует ли конкретная форма требованиям о целях, объеме и недопустимости избыточности обработки, относится не к его компетенции, а к компетенции иных правоприменителей.</w:t>
      </w:r>
      <w:r>
        <w:rPr>
          <w:rStyle w:val="FootnoteReference"/>
        </w:rPr>
        <w:footnoteReference w:id="125"/>
      </w:r>
    </w:p>
    <w:p>
      <w:pPr>
        <w:pStyle w:val="BodyText"/>
      </w:pPr>
      <w:r>
        <w:t xml:space="preserve">Для темы биометрии это определение значимо именно своей сдержанностью. Оно демонстрирует, что даже в вопросе о конструкции согласия Конституционный Суд пока не выработал углубленного стандарта конституционного контроля, ориентированного на цифровые интерфейсы и реальную свободу выбора субъекта. Суд подтверждает общие принципы законодательства о персональных данных, но не разворачивает их в критерии проверки того, когда форма согласия становится чрезмерной, когда она навязывает лишний объем раскрытия сведений, когда архитектура пользовательского сценария фактически подталкивает человека к принятию невыгодных условий, и как соотносить формальную добровольность с организационной зависимостью от оператора. В результате значительная часть конфликтов о содержании согласия выталкивается из пространства конституционного контроля в пространство обычного административного, гражданского и отраслевого правоприменения. Это и есть один из признаков незавершенности российской модели гарантий: конституционный уровень формулирует общую презумпцию защиты, но не дает детального теста для новых цифровых форм вмешательства.</w:t>
      </w:r>
      <w:r>
        <w:rPr>
          <w:rStyle w:val="FootnoteReference"/>
        </w:rPr>
        <w:footnoteReference w:id="126"/>
      </w:r>
      <w:r>
        <w:rPr>
          <w:rStyle w:val="FootnoteReference"/>
        </w:rPr>
        <w:footnoteReference w:id="127"/>
      </w:r>
    </w:p>
    <w:p>
      <w:pPr>
        <w:pStyle w:val="BodyText"/>
      </w:pPr>
      <w:r>
        <w:t xml:space="preserve">Контрастным ориентиром выступает решение Европейского Суда по правам человека по делу</w:t>
      </w:r>
      <w:r>
        <w:t xml:space="preserve"> </w:t>
      </w:r>
      <w:r>
        <w:rPr>
          <w:i/>
          <w:iCs/>
        </w:rPr>
        <w:t xml:space="preserve">Glukhin v. Russia</w:t>
      </w:r>
      <w:r>
        <w:t xml:space="preserve"> </w:t>
      </w:r>
      <w:r>
        <w:t xml:space="preserve">от 4 июля 2023 г. Суд рассматривал использование технологии распознавания лиц против участника мирной акции в московском метро и пришел к выводу о нарушении статьи 8 Конвенции, а также статьи 10. Для настоящего исследования особенно важен не только итог, но и сама логика анализа. ЕСПЧ подчеркнул, что обработка биометрических персональных данных заявителя с помощью технологии распознавания лиц была «particularly intrusive», то есть особенно инвазивной; указал на отсутствие в национальном праве детальных правил, регулирующих сферу и пределы применения такой технологии, и на отсутствие сильных гарантий от злоупотребления и произвола; наконец, пришел к выводу, что вмешательство не отвечало «pressing social need» и не было «necessary in a democratic society» применительно к мирному поведению, не создававшему угрозы общественному порядку или безопасности.</w:t>
      </w:r>
      <w:r>
        <w:rPr>
          <w:rStyle w:val="FootnoteReference"/>
        </w:rPr>
        <w:footnoteReference w:id="128"/>
      </w:r>
    </w:p>
    <w:p>
      <w:pPr>
        <w:pStyle w:val="BodyText"/>
      </w:pPr>
      <w:r>
        <w:t xml:space="preserve">Значение этого решения для российской темы двояко. С одной стороны, речь в нем шла о правоохранительном, а не сервисном применении распознавания лиц, поэтому перенос выводов на ЕБС не должен быть механическим. С другой стороны, именно в</w:t>
      </w:r>
      <w:r>
        <w:t xml:space="preserve"> </w:t>
      </w:r>
      <w:r>
        <w:rPr>
          <w:i/>
          <w:iCs/>
        </w:rPr>
        <w:t xml:space="preserve">Glukhin v. Russia</w:t>
      </w:r>
      <w:r>
        <w:t xml:space="preserve"> </w:t>
      </w:r>
      <w:r>
        <w:t xml:space="preserve">наиболее отчетливо показано, какого элемента не хватает российской судебной практике: последовательного теста пропорциональности, где отдельно анализируются качество закона, детальность процедурных гарантий, возможность внешнего контроля, реальная необходимость применения технологии и соразмерность вмешательства характеру преследуемой цели. Российские судебные акты пока редко доходят до такой плотности анализа даже в делах о персональных данных вообще, а в спорах о биометрии этот дефицит особенно заметен.</w:t>
      </w:r>
      <w:r>
        <w:rPr>
          <w:rStyle w:val="FootnoteReference"/>
        </w:rPr>
        <w:footnoteReference w:id="129"/>
      </w:r>
    </w:p>
    <w:p>
      <w:pPr>
        <w:pStyle w:val="BodyText"/>
      </w:pPr>
      <w:r>
        <w:t xml:space="preserve">Отсутствие развитой судебной линии частично компенсируется квазисудебной и регуляторной практикой. По существу, именно регулятор сегодня задает операционные стандарты того, что считается оправданным вмешательством в интересах безопасности финансового оборота. Это хорошо видно по материалам Банка России за 2025-2026 годы. В обзоре операций, совершенных без добровольного согласия клиентов финансовых организаций, за 2025 год зафиксировано увеличение объема таких операций на 6,4%, а их количества - на 31,2% по сравнению с 2024 годом. Одновременно Банк России указывает, что с 1 октября 2025 г. в мобильных приложениях крупных банков стало обязательным наличие специального сервиса для пострадавших клиентов, а с 1 сентября 2025 г. банки обязаны проводить обязательные антифрод-мероприятия при выдаче потребительских кредитов и наличных через банкоматы.</w:t>
      </w:r>
      <w:r>
        <w:rPr>
          <w:rStyle w:val="FootnoteReference"/>
        </w:rPr>
        <w:footnoteReference w:id="130"/>
      </w:r>
      <w:r>
        <w:t xml:space="preserve"> </w:t>
      </w:r>
      <w:r>
        <w:t xml:space="preserve">Эти данные показывают реальность и масштаб проблемы, ради решения которой государство и финансовый регулятор усиливают идентификационную инфраструктуру. Следовательно, легитимная цель вмешательства здесь не вызывает сомнений. Вопрос состоит в другом: где проходит предел, после которого усиление антифрод-мер начинает де-факто превращать биометрическую аутентификацию из дополнительной гарантии в инфраструктурно предпочтительный и экономически навязываемый канал доступа.</w:t>
      </w:r>
    </w:p>
    <w:p>
      <w:pPr>
        <w:pStyle w:val="BodyText"/>
      </w:pPr>
      <w:r>
        <w:t xml:space="preserve">Этот сдвиг особенно нагляден в сегменте микрофинансирования. В аналитическом материале Банка России о тенденциях на рынке МФО за 2025 год прямо указано, что Федеральный закон N 41-ФЗ предусматривает использование МФО биометрии из ЕБС в определенных законом случаях для противодействия кибермошенничеству; для микрофинансовых компаний использование ЕБС при выдаче онлайн-займов стало обязательным с 1 марта 2026 г., а для микрокредитных компаний такой режим отложен до 1 марта 2027 г. При этом Банк России отдельно фиксирует, что трудности адаптации к новым требованиям уже повлияли на структуру рынка: с начала 2026 года 10 МФК были преобразованы в МКК, а еще несколько компаний подали заявления на изменение статуса.</w:t>
      </w:r>
      <w:r>
        <w:rPr>
          <w:rStyle w:val="FootnoteReference"/>
        </w:rPr>
        <w:footnoteReference w:id="131"/>
      </w:r>
      <w:r>
        <w:t xml:space="preserve"> </w:t>
      </w:r>
      <w:r>
        <w:t xml:space="preserve">Для конституционно-правового анализа это обстоятельство важно не само по себе, а как показатель того, что биометрическое регулирование способно не только защищать пользователя, но и перераспределять издержки между участниками рынка, косвенно влияя на доступность дистанционных услуг, на организацию бизнес-моделей и на фактическое содержание альтернативы «с биометрией или без нее».</w:t>
      </w:r>
    </w:p>
    <w:p>
      <w:pPr>
        <w:pStyle w:val="BodyText"/>
      </w:pPr>
      <w:r>
        <w:t xml:space="preserve">Практика показывает и то, что обсуждать биометрию как исключительно банковскую тему уже недостаточно. Тот же материал Банка России фиксирует, что займы с полной стоимостью кредита до 100% годовых часто используются гражданами для приобретения товаров на маркетплейсах, торговых онлайн-площадках и в точках продаж, а дистанционный канал остается для МФО основным.</w:t>
      </w:r>
      <w:r>
        <w:rPr>
          <w:rStyle w:val="FootnoteReference"/>
        </w:rPr>
        <w:footnoteReference w:id="132"/>
      </w:r>
      <w:r>
        <w:t xml:space="preserve"> </w:t>
      </w:r>
      <w:r>
        <w:t xml:space="preserve">Это означает, что правовые риски биометрической идентификации смещаются из узкой сферы банковского обслуживания в более широкий цифровой контур, где пересекаются финансовые сервисы, торговые платформы, посреднические приложения и инфраструктура удаленной выдачи займов. В такой среде проблема добровольности согласия и соразмерности обработки уже не сводится к отношениям «банк - клиент»: она становится вопросом платформенного доступа к повседневным благам и услугам.</w:t>
      </w:r>
    </w:p>
    <w:p>
      <w:pPr>
        <w:pStyle w:val="BodyText"/>
      </w:pPr>
      <w:r>
        <w:t xml:space="preserve">Не менее показательна и фактическая сервисная практика самой ЕБС. По состоянию на 16 апреля 2026 г. официальный сайт системы представляет ЕБС не только как инструмент дистанционного банковского обслуживания, но и как инфраструктуру более широкого спектра сценариев. На главной странице среди доступных или предлагаемых сценариев названы, в частности, посадка на поезд, микрозайм онлайн, обслуживание в МФЦ и старт бизнеса онлайн; в зависимости от категории зарегистрированной биометрии на сайте также заявлены заселение в гостиницу, дистанционное банковское обслуживание и оформление УКЭП.</w:t>
      </w:r>
      <w:r>
        <w:rPr>
          <w:rStyle w:val="FootnoteReference"/>
        </w:rPr>
        <w:footnoteReference w:id="133"/>
      </w:r>
      <w:r>
        <w:t xml:space="preserve"> </w:t>
      </w:r>
      <w:r>
        <w:t xml:space="preserve">В разделе помощи указывается, что пользователь через Госуслуги может увидеть статус и срок действия своей биометрии, удалить ее «в один клик», а в разделе «Согласия» - отозвать согласия на обработку данных у отдельных организаций; кроме того, сохраняется возможность подать отказ от сбора и размещения биометрии через МФЦ и затем отозвать такой отказ также через МФЦ.</w:t>
      </w:r>
      <w:r>
        <w:rPr>
          <w:rStyle w:val="FootnoteReference"/>
        </w:rPr>
        <w:footnoteReference w:id="134"/>
      </w:r>
      <w:r>
        <w:t xml:space="preserve"> </w:t>
      </w:r>
      <w:r>
        <w:t xml:space="preserve">Эти сведения важны в двух отношениях. Во-первых, они подтверждают наличие реальных инструментов субъектного контроля. Во-вторых, они показывают, что практическая среда использования биометрии расширяется быстрее, чем складывается судебная оценка пределов такого расширения.</w:t>
      </w:r>
    </w:p>
    <w:p>
      <w:pPr>
        <w:pStyle w:val="BodyText"/>
      </w:pPr>
      <w:r>
        <w:t xml:space="preserve">При этом корректно подчеркнуть: из содержания официального сайта ЕБС не следует автоматически, что каждый из перечисленных сценариев внедрен одинаково, повсеместно и без оговорок на всей территории страны. Точнее будет говорить о том, что оператор системы по состоянию на 16 апреля 2026 г. официально позиционирует эти направления как действующие сервисные сценарии либо как доступные пользователям в зависимости от категории биометрии.</w:t>
      </w:r>
      <w:r>
        <w:rPr>
          <w:rStyle w:val="FootnoteReference"/>
        </w:rPr>
        <w:footnoteReference w:id="135"/>
      </w:r>
      <w:r>
        <w:t xml:space="preserve"> </w:t>
      </w:r>
      <w:r>
        <w:t xml:space="preserve">Но даже в таком аккуратном прочтении сам перечень сценариев имеет большое правовое значение. Он свидетельствует о переходе от модели, в которой биометрия воспринималась как узкий канал удаленной идентификации для отдельных финансовых действий, к модели, где она становится универсальным интерфейсом повседневного допуска. А чем шире становится круг жизненных ситуаций, в которых биометрический канал быстрее, удобнее и функциональнее альтернативного, тем острее встает вопрос о том, остается ли согласие действительно свободным в материальном, а не только формально-юридическом смысле.</w:t>
      </w:r>
    </w:p>
    <w:p>
      <w:pPr>
        <w:pStyle w:val="BodyText"/>
      </w:pPr>
      <w:r>
        <w:t xml:space="preserve">С тем же разрывом между нормативной идеей и фактической стадией внедрения связана и Платформа коммерческих согласий. В теории она должна стать важным гарантийным элементом, позволяющим пользователю видеть, какие именно данные, кому, на какой срок и в рамках какой услуги передаются, а при необходимости инициировать отзыв согласия из одного интерфейса. Однако официальные материалы Банка России пока не позволяют описывать эту платформу как уже состоявшийся универсальный механизм защиты. На странице Банка России об Открытых API, обновленной 24 декабря 2025 г., прямо указано, что Платформа коммерческих согласий находится в стадии пилотирования, хотя именно она должна обеспечить прозрачное «одно окно» для просмотра и отзыва согласий. На странице об итогах работы Банка России за 2025 год, обновленной 20 марта 2026 г., дополнительно указано, что правовые условия для запуска платформы были созданы в 2025 году и проводится пилотирование ее функционала с участием 10 банков.</w:t>
      </w:r>
      <w:r>
        <w:rPr>
          <w:rStyle w:val="FootnoteReference"/>
        </w:rPr>
        <w:footnoteReference w:id="136"/>
      </w:r>
      <w:r>
        <w:rPr>
          <w:rStyle w:val="FootnoteReference"/>
        </w:rPr>
        <w:footnoteReference w:id="137"/>
      </w:r>
      <w:r>
        <w:t xml:space="preserve"> </w:t>
      </w:r>
      <w:r>
        <w:t xml:space="preserve">Следовательно, на дату подготовки настоящего текста мы вправе говорить лишь о формировании этой инфраструктуры, но не о ее полномасштабном и универсальном функционировании. Это важная оговорка, потому что без нее легко переоценить фактический уровень защищенности пользователя в межорганизационном обмене данными.</w:t>
      </w:r>
    </w:p>
    <w:p>
      <w:pPr>
        <w:pStyle w:val="BodyText"/>
      </w:pPr>
      <w:r>
        <w:t xml:space="preserve">Именно здесь особенно отчетливо проявляется специфика российской правоприменительной практики. Там, где судебная ветвь пока формулирует лишь общие принципы защиты частной жизни и обращения с персональными данными, регулятор и операторы инфраструктуры уже принимают решения, меняющие ежедневную конфигурацию доступа к услугам. С точки зрения правовой политики это понятный и даже неизбежный процесс: мошенничество растет, дистанционные сервисы становятся массовыми, а рынок требует более надежной идентификации. Но с точки зрения конституционных гарантий такая асимметрия означает, что технологическое и сервисное расширение биометрии нередко опережает выработку полноценного судебного стандарта ее допустимости. И пока такой стандарт не сложился, оценка соразмерности вмешательства в значительной степени распадается на отраслевые правила, интерфейсные решения, рекомендации регулятора и частичные механизмы контроля через Госуслуги, МФЦ и банковские приложения.</w:t>
      </w:r>
    </w:p>
    <w:p>
      <w:pPr>
        <w:pStyle w:val="BodyText"/>
      </w:pPr>
      <w:r>
        <w:t xml:space="preserve">Промежуточный вывод по подпункту 2.3 состоит в следующем. Российская судебная практика уже содержит важные исходные положения о конституционной защите персональных данных и о необходимости баланса частной жизни с иными публично значимыми ценностями, но она пока не выработала самостоятельной и достаточно детализированной методологии проверки пропорциональности именно в сфере биометрической идентификации.</w:t>
      </w:r>
      <w:r>
        <w:rPr>
          <w:rStyle w:val="FootnoteReference"/>
        </w:rPr>
        <w:footnoteReference w:id="138"/>
      </w:r>
      <w:r>
        <w:rPr>
          <w:rStyle w:val="FootnoteReference"/>
        </w:rPr>
        <w:footnoteReference w:id="139"/>
      </w:r>
      <w:r>
        <w:t xml:space="preserve"> </w:t>
      </w:r>
      <w:r>
        <w:t xml:space="preserve">Международный контраст в лице</w:t>
      </w:r>
      <w:r>
        <w:t xml:space="preserve"> </w:t>
      </w:r>
      <w:r>
        <w:rPr>
          <w:i/>
          <w:iCs/>
        </w:rPr>
        <w:t xml:space="preserve">Glukhin v. Russia</w:t>
      </w:r>
      <w:r>
        <w:t xml:space="preserve"> </w:t>
      </w:r>
      <w:r>
        <w:t xml:space="preserve">показывает, что такой анализ должен включать не только наличие формального закона, но и проверку детальности регулирования, силы гарантий от произвола, реальной необходимости применения технологии и характера затрагиваемой активности.</w:t>
      </w:r>
      <w:r>
        <w:rPr>
          <w:rStyle w:val="FootnoteReference"/>
        </w:rPr>
        <w:footnoteReference w:id="140"/>
      </w:r>
      <w:r>
        <w:t xml:space="preserve"> </w:t>
      </w:r>
      <w:r>
        <w:t xml:space="preserve">Между тем фактические границы использования биометрии в России сегодня в значительной степени формируются не судами, а регулятором и операторами цифровой инфраструктуры: через антифрод-обязанности, обязательное применение ЕБС в отдельных сегментах рынка, расширение повседневных сервисных сценариев и постепенное развертывание платформы управления согласиями.</w:t>
      </w:r>
      <w:r>
        <w:rPr>
          <w:rStyle w:val="FootnoteReference"/>
        </w:rPr>
        <w:footnoteReference w:id="141"/>
      </w:r>
      <w:r>
        <w:rPr>
          <w:rStyle w:val="FootnoteReference"/>
        </w:rPr>
        <w:footnoteReference w:id="142"/>
      </w:r>
      <w:r>
        <w:rPr>
          <w:rStyle w:val="FootnoteReference"/>
        </w:rPr>
        <w:footnoteReference w:id="143"/>
      </w:r>
      <w:r>
        <w:rPr>
          <w:rStyle w:val="FootnoteReference"/>
        </w:rPr>
        <w:footnoteReference w:id="144"/>
      </w:r>
      <w:r>
        <w:rPr>
          <w:rStyle w:val="FootnoteReference"/>
        </w:rPr>
        <w:footnoteReference w:id="145"/>
      </w:r>
      <w:r>
        <w:rPr>
          <w:rStyle w:val="FootnoteReference"/>
        </w:rPr>
        <w:footnoteReference w:id="146"/>
      </w:r>
      <w:r>
        <w:t xml:space="preserve"> </w:t>
      </w:r>
      <w:r>
        <w:t xml:space="preserve">Поэтому главный практический дефицит российской модели заключается не в полном отсутствии гарантий, а в том, что их наиболее динамично развивающаяся часть пока существует преимущественно на уровне регуляторной и технологической архитектуры, а не на уровне зрелого конституционно-судебного контроля.</w:t>
      </w:r>
    </w:p>
    <w:bookmarkEnd w:id="147"/>
    <w:bookmarkEnd w:id="148"/>
    <w:bookmarkStart w:id="152" w:name="X90ff2aceb88aca396517431b7f299ee6efcdd75"/>
    <w:p>
      <w:pPr>
        <w:pStyle w:val="Heading1"/>
      </w:pPr>
      <w:r>
        <w:t xml:space="preserve">ГЛАВА 3. ПРОБЛЕМЫ РЕАЛИЗАЦИИ КОНСТИТУЦИОННО-ПРАВОВЫХ ГАРАНТИЙ И НАПРАВЛЕНИЯ СОВЕРШЕНСТВОВАНИЯ ЗАКОНОДАТЕЛЬСТВА</w:t>
      </w:r>
    </w:p>
    <w:bookmarkStart w:id="149" w:name="X004d675378572bdf42f3bfa412dc475f6b9fd06"/>
    <w:p>
      <w:pPr>
        <w:pStyle w:val="Heading2"/>
      </w:pPr>
      <w:r>
        <w:t xml:space="preserve">3.1. Сравнительно-правовые ориентиры и международные стандарты</w:t>
      </w:r>
    </w:p>
    <w:p>
      <w:pPr>
        <w:pStyle w:val="FirstParagraph"/>
      </w:pPr>
      <w:r>
        <w:t xml:space="preserve">Черновик подпункта пока не добавлен.</w:t>
      </w:r>
    </w:p>
    <w:bookmarkEnd w:id="149"/>
    <w:bookmarkStart w:id="150" w:name="ключевые-дефициты-российской-модели"/>
    <w:p>
      <w:pPr>
        <w:pStyle w:val="Heading2"/>
      </w:pPr>
      <w:r>
        <w:t xml:space="preserve">3.2. Ключевые дефициты российской модели</w:t>
      </w:r>
    </w:p>
    <w:p>
      <w:pPr>
        <w:pStyle w:val="FirstParagraph"/>
      </w:pPr>
      <w:r>
        <w:t xml:space="preserve">Черновик подпункта пока не добавлен.</w:t>
      </w:r>
    </w:p>
    <w:bookmarkEnd w:id="150"/>
    <w:bookmarkStart w:id="151" w:name="X1a37b4d69d469abe72dfd474282d73a29317a17"/>
    <w:p>
      <w:pPr>
        <w:pStyle w:val="Heading2"/>
      </w:pPr>
      <w:r>
        <w:t xml:space="preserve">3.3. Предложения по совершенствованию конституционно-правовых гарантий</w:t>
      </w:r>
    </w:p>
    <w:p>
      <w:pPr>
        <w:pStyle w:val="FirstParagraph"/>
      </w:pPr>
      <w:r>
        <w:t xml:space="preserve">Черновик подпункта пока не добавлен.</w:t>
      </w:r>
    </w:p>
    <w:bookmarkEnd w:id="151"/>
    <w:bookmarkEnd w:id="152"/>
    <w:bookmarkStart w:id="153" w:name="заключение"/>
    <w:p>
      <w:pPr>
        <w:pStyle w:val="Heading1"/>
      </w:pPr>
      <w:r>
        <w:t xml:space="preserve">ЗАКЛЮЧЕНИЕ</w:t>
      </w:r>
    </w:p>
    <w:p>
      <w:pPr>
        <w:pStyle w:val="FirstParagraph"/>
      </w:pPr>
      <w:r>
        <w:t xml:space="preserve">Финальный текст заключения пока не написан.</w:t>
      </w:r>
    </w:p>
    <w:p>
      <w:pPr>
        <w:pStyle w:val="BodyText"/>
      </w:pPr>
      <w:r>
        <w:t xml:space="preserve">Заключение будет собираться после завершения основных глав, чтобы оно действительно подводило итог исследованию, а не дублировало план.</w:t>
      </w:r>
    </w:p>
    <w:bookmarkEnd w:id="153"/>
    <w:bookmarkStart w:id="156" w:name="список-использованной-литературы"/>
    <w:p>
      <w:pPr>
        <w:pStyle w:val="Heading1"/>
      </w:pPr>
      <w:r>
        <w:t xml:space="preserve">СПИСОК ИСПОЛЬЗОВАННОЙ ЛИТЕРАТУРЫ</w:t>
      </w:r>
    </w:p>
    <w:p>
      <w:pPr>
        <w:pStyle w:val="FirstParagraph"/>
      </w:pPr>
      <w:r>
        <w:t xml:space="preserve">Финальный библиографический список пока не собран.</w:t>
      </w:r>
    </w:p>
    <w:p>
      <w:pPr>
        <w:pStyle w:val="BodyText"/>
      </w:pPr>
      <w:r>
        <w:t xml:space="preserve">На текущем этапе рабочий пул источников находится в:</w:t>
      </w:r>
    </w:p>
    <w:p>
      <w:pPr>
        <w:pStyle w:val="Compact"/>
        <w:numPr>
          <w:ilvl w:val="0"/>
          <w:numId w:val="1002"/>
        </w:numPr>
      </w:pPr>
      <w:hyperlink r:id="rId154">
        <w:r>
          <w:rPr>
            <w:rStyle w:val="Hyperlink"/>
          </w:rPr>
          <w:t xml:space="preserve">sources/01-base-topic-framework.md</w:t>
        </w:r>
      </w:hyperlink>
    </w:p>
    <w:p>
      <w:pPr>
        <w:pStyle w:val="Compact"/>
        <w:numPr>
          <w:ilvl w:val="0"/>
          <w:numId w:val="1002"/>
        </w:numPr>
      </w:pPr>
      <w:hyperlink r:id="rId155">
        <w:r>
          <w:rPr>
            <w:rStyle w:val="Hyperlink"/>
          </w:rPr>
          <w:t xml:space="preserve">SOURCES.md</w:t>
        </w:r>
      </w:hyperlink>
    </w:p>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Талапина Э. В., Антопольский А. А., Монахова В. Н.</w:t>
      </w:r>
      <w:r>
        <w:t xml:space="preserve"> </w:t>
      </w:r>
      <w:r>
        <w:rPr>
          <w:i/>
          <w:iCs/>
        </w:rPr>
        <w:t xml:space="preserve">Права человека в эпоху интернета: публично-правовой аспект</w:t>
      </w:r>
      <w:r>
        <w:t xml:space="preserve">. М.: Проспект, 2023. URL: https://mdk-arbat.ru/book/6643708 (дата обращения: 16.04.2026).</w:t>
      </w:r>
    </w:p>
  </w:footnote>
  <w:footnote w:id="13">
    <w:p>
      <w:pPr>
        <w:pStyle w:val="FootnoteText"/>
      </w:pPr>
      <w:r>
        <w:rPr>
          <w:rStyle w:val="FootnoteReference"/>
        </w:rPr>
        <w:footnoteRef/>
      </w:r>
      <w:r>
        <w:t xml:space="preserve"> </w:t>
      </w:r>
      <w:r>
        <w:t xml:space="preserve">Конституция Российской Федерации (принята всенародным голосованием 12.12.1993; с изм., одобренными в ходе общероссийского голосования 01.07.2020). Ст. 23, 24, 55. URL: https://www.consultant.ru/document/cons_doc_LAW_28399/ (дата обращения: 16.04.2026).</w:t>
      </w:r>
    </w:p>
  </w:footnote>
  <w:footnote w:id="14">
    <w:p>
      <w:pPr>
        <w:pStyle w:val="FootnoteText"/>
      </w:pPr>
      <w:r>
        <w:rPr>
          <w:rStyle w:val="FootnoteReference"/>
        </w:rPr>
        <w:footnoteRef/>
      </w:r>
      <w:r>
        <w:t xml:space="preserve"> </w:t>
      </w:r>
      <w:r>
        <w:t xml:space="preserve">Конституция Российской Федерации. Ст. 23. URL: https://www.consultant.ru/document/cons_doc_LAW_28399/ (дата обращения: 16.04.2026); 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П. 2, 2.1. URL: https://www.consultant.ru/document/cons_doc_LAW_385041/ (дата обращения: 16.04.2026).</w:t>
      </w:r>
    </w:p>
  </w:footnote>
  <w:footnote w:id="15">
    <w:p>
      <w:pPr>
        <w:pStyle w:val="FootnoteText"/>
      </w:pPr>
      <w:r>
        <w:rPr>
          <w:rStyle w:val="FootnoteReference"/>
        </w:rPr>
        <w:footnoteRef/>
      </w:r>
      <w:r>
        <w:t xml:space="preserve"> </w:t>
      </w:r>
      <w:r>
        <w:t xml:space="preserve">Конституция Российской Федерации. Ст. 23 ч. 2. URL: https://www.consultant.ru/document/cons_doc_LAW_28399/ (дата обращения: 16.04.2026).</w:t>
      </w:r>
    </w:p>
  </w:footnote>
  <w:footnote w:id="16">
    <w:p>
      <w:pPr>
        <w:pStyle w:val="FootnoteText"/>
      </w:pPr>
      <w:r>
        <w:rPr>
          <w:rStyle w:val="FootnoteReference"/>
        </w:rPr>
        <w:footnoteRef/>
      </w:r>
      <w:r>
        <w:t xml:space="preserve"> </w:t>
      </w:r>
      <w:r>
        <w:t xml:space="preserve">Конституция Российской Федерации. Ст. 24. URL: https://www.consultant.ru/document/cons_doc_LAW_28399/ (дата обращения: 16.04.2026).</w:t>
      </w:r>
    </w:p>
  </w:footnote>
  <w:footnote w:id="17">
    <w:p>
      <w:pPr>
        <w:pStyle w:val="FootnoteText"/>
      </w:pPr>
      <w:r>
        <w:rPr>
          <w:rStyle w:val="FootnoteReference"/>
        </w:rPr>
        <w:footnoteRef/>
      </w:r>
      <w:r>
        <w:t xml:space="preserve"> </w:t>
      </w:r>
      <w:r>
        <w:t xml:space="preserve">Конституция Российской Федерации. Ст. 24. URL: https://www.consultant.ru/document/cons_doc_LAW_28399/ (дата обращения: 16.04.2026).</w:t>
      </w:r>
    </w:p>
  </w:footnote>
  <w:footnote w:id="18">
    <w:p>
      <w:pPr>
        <w:pStyle w:val="FootnoteText"/>
      </w:pPr>
      <w:r>
        <w:rPr>
          <w:rStyle w:val="FootnoteReference"/>
        </w:rPr>
        <w:footnoteRef/>
      </w:r>
      <w:r>
        <w:t xml:space="preserve"> </w:t>
      </w:r>
      <w:r>
        <w:t xml:space="preserve">Конституция Российской Федерации. Ст. 55. URL: https://www.consultant.ru/document/cons_doc_LAW_28399/ (дата обращения: 16.04.2026).</w:t>
      </w:r>
    </w:p>
  </w:footnote>
  <w:footnote w:id="19">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w:t>
      </w:r>
      <w:r>
        <w:t xml:space="preserve">(ред. от 24.06.2025). Ст. 10.1; ст. 11, ч. 1-3. В ч. 2 ст. 11 без согласия субъекта допускается обработка биометрических персональных данных лишь в прямо перечисленных законом случаях; действующая редакция учитывает, в частности, изменения, внесенные Федеральными законами от 28.12.2024 N 519-ФЗ и от 23.05.2025 N 121-ФЗ. URL: https://www.consultant.ru/document/cons_doc_LAW_61801/; https://www.consultant.ru/document/cons_doc_LAW_61801/7336c78762a98b5f4f698b8c3800dca1111acc16/ (дата обращения: 16.04.2026).</w:t>
      </w:r>
    </w:p>
  </w:footnote>
  <w:footnote w:id="20">
    <w:p>
      <w:pPr>
        <w:pStyle w:val="FootnoteText"/>
      </w:pPr>
      <w:r>
        <w:rPr>
          <w:rStyle w:val="FootnoteReference"/>
        </w:rPr>
        <w:footnoteRef/>
      </w:r>
      <w:r>
        <w:t xml:space="preserve"> </w:t>
      </w:r>
      <w:r>
        <w:t xml:space="preserve">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w:t>
      </w:r>
      <w:r>
        <w:t xml:space="preserve"> </w:t>
      </w:r>
      <w:r>
        <w:t xml:space="preserve">(ред. от 28.12.2024). Ст. 1, 3. Действующая редакция сформирована с учетом Федеральных законов от 08.08.2024 N 303-ФЗ, от 26.12.2024 N 494-ФЗ и от 28.12.2024 N 522-ФЗ. URL: https://www.consultant.ru/document/cons_doc_LAW_436110/; https://www.consultant.ru/document/cons_doc_LAW_436110/15f0efd3c8311b53608abd85f9c02157e1457f55/ (дата обращения: 16.04.2026).</w:t>
      </w:r>
    </w:p>
  </w:footnote>
  <w:footnote w:id="21">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П. 2, 2.1. URL: https://www.consultant.ru/document/cons_doc_LAW_385041/ (дата обращения: 16.04.2026).</w:t>
      </w:r>
    </w:p>
  </w:footnote>
  <w:footnote w:id="22">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П. 3, 3.1, 4, резолютивная часть. URL: https://www.consultant.ru/document/cons_doc_LAW_385041/ (дата обращения: 16.04.2026).</w:t>
      </w:r>
    </w:p>
  </w:footnote>
  <w:footnote w:id="23">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П. 2, 2.1. URL: https://www.consultant.ru/document/cons_doc_LAW_385041/ (дата обращения: 16.04.2026); Постановление Конституционного Суда РФ от 09.07.2013 N 18-П</w:t>
      </w:r>
      <w:r>
        <w:t xml:space="preserve"> </w:t>
      </w:r>
      <w:r>
        <w:t xml:space="preserve">“По делу о проверке конституционности положений пунктов 1, 5 и 6 статьи 152 Гражданского кодекса Российской Федерации в связи с жалобой гражданина Е.В. Крылова”</w:t>
      </w:r>
      <w:r>
        <w:t xml:space="preserve">. П. 2. URL: https://www.consultant.ru/document/cons_doc_LAW_149168/ (дата обращения: 16.04.2026).</w:t>
      </w:r>
    </w:p>
  </w:footnote>
  <w:footnote w:id="24">
    <w:p>
      <w:pPr>
        <w:pStyle w:val="FootnoteText"/>
      </w:pPr>
      <w:r>
        <w:rPr>
          <w:rStyle w:val="FootnoteReference"/>
        </w:rPr>
        <w:footnoteRef/>
      </w:r>
      <w:r>
        <w:t xml:space="preserve"> </w:t>
      </w:r>
      <w:r>
        <w:t xml:space="preserve">Волкова Г. Е. Право на неприкосновенность частной жизни в цифровую эпоху //</w:t>
      </w:r>
      <w:r>
        <w:t xml:space="preserve"> </w:t>
      </w:r>
      <w:r>
        <w:rPr>
          <w:i/>
          <w:iCs/>
        </w:rPr>
        <w:t xml:space="preserve">Философия права</w:t>
      </w:r>
      <w:r>
        <w:t xml:space="preserve">. 2022. N 4(103). URL: https://cyberleninka.ru/article/n/pravo-na-neprikosnovennost-chastnoy-zhizni-v-tsifrovuyu-epohu; Талапина Э. В., Антопольский А. А., Монахова В. Н.</w:t>
      </w:r>
      <w:r>
        <w:t xml:space="preserve"> </w:t>
      </w:r>
      <w:r>
        <w:rPr>
          <w:i/>
          <w:iCs/>
        </w:rPr>
        <w:t xml:space="preserve">Права человека в эпоху интернета: публично-правовой аспект</w:t>
      </w:r>
      <w:r>
        <w:t xml:space="preserve">. М.: Проспект, 2023. URL: https://mdk-arbat.ru/book/6643708 (дата обращения: 16.04.2026).</w:t>
      </w:r>
    </w:p>
  </w:footnote>
  <w:footnote w:id="25">
    <w:p>
      <w:pPr>
        <w:pStyle w:val="FootnoteText"/>
      </w:pPr>
      <w:r>
        <w:rPr>
          <w:rStyle w:val="FootnoteReference"/>
        </w:rPr>
        <w:footnoteRef/>
      </w:r>
      <w:r>
        <w:t xml:space="preserve"> </w:t>
      </w:r>
      <w:r>
        <w:t xml:space="preserve">Мочалов А. Н. Цифровой профиль: основные риски для конституционных прав человека в условиях правовой неопределенности //</w:t>
      </w:r>
      <w:r>
        <w:t xml:space="preserve"> </w:t>
      </w:r>
      <w:r>
        <w:rPr>
          <w:i/>
          <w:iCs/>
        </w:rPr>
        <w:t xml:space="preserve">Lex Russica</w:t>
      </w:r>
      <w:r>
        <w:t xml:space="preserve">. 2021. Т. 74. N 9(178). С. 88-101. DOI: 10.17803/1729-5920.2021.178.9.088-101. URL: https://cyberleninka.ru/article/n/tsifrovoy-profil-osnovnye-riski-dlya-konstitutsionnyh-prav-cheloveka-v-usloviyah-pravovoy-neopredelennosti (дата обращения: 16.04.2026).</w:t>
      </w:r>
    </w:p>
  </w:footnote>
  <w:footnote w:id="27">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Ст. 11, ч. 1. URL: https://www.consultant.ru/document/cons_doc_LAW_61801/7336c78762a98b5f4f698b8c3800dca1111acc16/ (дата обращения: 16.04.2026).</w:t>
      </w:r>
    </w:p>
  </w:footnote>
  <w:footnote w:id="28">
    <w:p>
      <w:pPr>
        <w:pStyle w:val="FootnoteText"/>
      </w:pPr>
      <w:r>
        <w:rPr>
          <w:rStyle w:val="FootnoteReference"/>
        </w:rPr>
        <w:footnoteRef/>
      </w:r>
      <w:r>
        <w:t xml:space="preserve"> </w:t>
      </w:r>
      <w:r>
        <w:t xml:space="preserve">Regulation (EU) 2016/679 (GDPR). Art. 4(14), Art. 9(1), Recital 51. URL: https://eur-lex.europa.eu/eli/reg/2016/679/oj (дата обращения: 16.04.2026).</w:t>
      </w:r>
    </w:p>
  </w:footnote>
  <w:footnote w:id="29">
    <w:p>
      <w:pPr>
        <w:pStyle w:val="FootnoteText"/>
      </w:pPr>
      <w:r>
        <w:rPr>
          <w:rStyle w:val="FootnoteReference"/>
        </w:rPr>
        <w:footnoteRef/>
      </w:r>
      <w:r>
        <w:t xml:space="preserve"> </w:t>
      </w:r>
      <w:r>
        <w:t xml:space="preserve">Митянов З. О. Трансформация легальной дефиниции биометрических персональных данных в условиях развития систем искусственного интеллекта. 2025. URL: https://www.consultant.ru/edu/student/nauka/download/mityanov_z_o.pdf (дата обращения: 16.04.2026).</w:t>
      </w:r>
    </w:p>
  </w:footnote>
  <w:footnote w:id="30">
    <w:p>
      <w:pPr>
        <w:pStyle w:val="FootnoteText"/>
      </w:pPr>
      <w:r>
        <w:rPr>
          <w:rStyle w:val="FootnoteReference"/>
        </w:rPr>
        <w:footnoteRef/>
      </w:r>
      <w:r>
        <w:t xml:space="preserve"> </w:t>
      </w:r>
      <w:r>
        <w:t xml:space="preserve">Утеген Д., Рахметов Б. Ж. Технология распознавания лиц и обеспечение безопасности биометрических данных: компаративный анализ моделей правового регулирования //</w:t>
      </w:r>
      <w:r>
        <w:t xml:space="preserve"> </w:t>
      </w:r>
      <w:r>
        <w:rPr>
          <w:i/>
          <w:iCs/>
        </w:rPr>
        <w:t xml:space="preserve">Journal of Digital Technologies and Law</w:t>
      </w:r>
      <w:r>
        <w:t xml:space="preserve">. 2023. Т. 1. N 3. С. 825-844. DOI: 10.21202/jdtl.2023.36. URL: https://www.lawjournal.digital/jour/article/view/247; Use of facial-recognition technology breached rights of Moscow underground protestor: press release on the judgment in</w:t>
      </w:r>
      <w:r>
        <w:t xml:space="preserve"> </w:t>
      </w:r>
      <w:r>
        <w:rPr>
          <w:i/>
          <w:iCs/>
        </w:rPr>
        <w:t xml:space="preserve">Glukhin v. Russia</w:t>
      </w:r>
      <w:r>
        <w:t xml:space="preserve"> </w:t>
      </w:r>
      <w:r>
        <w:t xml:space="preserve">(application no. 11519/20), European Court of Human Rights, 04.07.2023. URL: https://hudoc.echr.coe.int/app/conversion/pdf/?filename=Judgment+Glukhin+v.+Russia+-+use+of+facial-recognition+technology+against+Moscow+underground+protestor.pdf&amp;id=003-7694109-10618091&amp;library=ECHR (дата обращения: 16.04.2026).</w:t>
      </w:r>
    </w:p>
  </w:footnote>
  <w:footnote w:id="31">
    <w:p>
      <w:pPr>
        <w:pStyle w:val="FootnoteText"/>
      </w:pPr>
      <w:r>
        <w:rPr>
          <w:rStyle w:val="FootnoteReference"/>
        </w:rPr>
        <w:footnoteRef/>
      </w:r>
      <w:r>
        <w:t xml:space="preserve"> </w:t>
      </w:r>
      <w:r>
        <w:t xml:space="preserve">Митянов З. О. Трансформация легальной дефиниции биометрических персональных данных в условиях развития систем искусственного интеллекта. С. 2-4 PDF-версии. URL: https://www.consultant.ru/edu/student/nauka/download/mityanov_z_o.pdf (дата обращения: 16.04.2026).</w:t>
      </w:r>
    </w:p>
  </w:footnote>
  <w:footnote w:id="32">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Ст. 11, ч. 3. URL: https://www.consultant.ru/document/cons_doc_LAW_61801/7336c78762a98b5f4f698b8c3800dca1111acc16/ (дата обращения: 16.04.2026).</w:t>
      </w:r>
    </w:p>
  </w:footnote>
  <w:footnote w:id="33">
    <w:p>
      <w:pPr>
        <w:pStyle w:val="FootnoteText"/>
      </w:pPr>
      <w:r>
        <w:rPr>
          <w:rStyle w:val="FootnoteReference"/>
        </w:rPr>
        <w:footnoteRef/>
      </w:r>
      <w:r>
        <w:t xml:space="preserve"> </w:t>
      </w:r>
      <w:r>
        <w:t xml:space="preserve">Постановление Правительства РФ от 06.07.2008 N 512 (ред. от 27.12.2012)</w:t>
      </w:r>
      <w:r>
        <w:t xml:space="preserve"> </w:t>
      </w:r>
      <w:r>
        <w:t xml:space="preserve">“Об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w:t>
      </w:r>
      <w:r>
        <w:t xml:space="preserve">. URL: https://www.consultant.ru/document/cons_doc_LAW_78154/ (дата обращения: 16.04.2026); Хандрыга Д. О. Правовое регулирование биометрических персональных данных в Российской Федерации //</w:t>
      </w:r>
      <w:r>
        <w:t xml:space="preserve"> </w:t>
      </w:r>
      <w:r>
        <w:rPr>
          <w:i/>
          <w:iCs/>
        </w:rPr>
        <w:t xml:space="preserve">Вестник Российской правовой академии</w:t>
      </w:r>
      <w:r>
        <w:t xml:space="preserve">. 2024. N 1. С. 191-201. DOI: 10.33874/2072-9936-2024-0-1-191-201. URL: https://journal.rpa-mu.ru/Media/journal/archiv/2024/1/VestnRPA_2024_1-s19.pdf (дата обращения: 16.04.2026).</w:t>
      </w:r>
    </w:p>
  </w:footnote>
  <w:footnote w:id="34">
    <w:p>
      <w:pPr>
        <w:pStyle w:val="FootnoteText"/>
      </w:pPr>
      <w:r>
        <w:rPr>
          <w:rStyle w:val="FootnoteReference"/>
        </w:rPr>
        <w:footnoteRef/>
      </w:r>
      <w:r>
        <w:t xml:space="preserve"> </w:t>
      </w:r>
      <w:r>
        <w:t xml:space="preserve">Федеральный закон от 29.12.2022 N 572-ФЗ. Ст. 3, ч. 11-16. URL: https://www.consultant.ru/document/cons_doc_LAW_436110/15f0efd3c8311b53608abd85f9c02157e1457f55/ (дата обращения: 16.04.2026).</w:t>
      </w:r>
    </w:p>
  </w:footnote>
  <w:footnote w:id="35">
    <w:p>
      <w:pPr>
        <w:pStyle w:val="FootnoteText"/>
      </w:pPr>
      <w:r>
        <w:rPr>
          <w:rStyle w:val="FootnoteReference"/>
        </w:rPr>
        <w:footnoteRef/>
      </w:r>
      <w:r>
        <w:t xml:space="preserve"> </w:t>
      </w:r>
      <w:r>
        <w:t xml:space="preserve">Федеральный закон от 29.12.2022 N 572-ФЗ. Ст. 15. URL: https://www.consultant.ru/document/cons_doc_LAW_436110/b599780118c89e6e1fba4fb8a98aa3e77fb72fcc/ (дата обращения: 16.04.2026).</w:t>
      </w:r>
    </w:p>
  </w:footnote>
  <w:footnote w:id="36">
    <w:p>
      <w:pPr>
        <w:pStyle w:val="FootnoteText"/>
      </w:pPr>
      <w:r>
        <w:rPr>
          <w:rStyle w:val="FootnoteReference"/>
        </w:rPr>
        <w:footnoteRef/>
      </w:r>
      <w:r>
        <w:t xml:space="preserve"> </w:t>
      </w:r>
      <w:r>
        <w:t xml:space="preserve">Постановление Правительства РФ от 01.04.2024 N 408</w:t>
      </w:r>
      <w:r>
        <w:t xml:space="preserve"> </w:t>
      </w:r>
      <w:r>
        <w:t xml:space="preserve">“О видах биометрических персональных данных, на которые распространяется действие Федерального закона…”</w:t>
      </w:r>
      <w:r>
        <w:t xml:space="preserve"> </w:t>
      </w:r>
      <w:r>
        <w:t xml:space="preserve">URL: https://www.consultant.ru/document/cons_doc_LAW_473908/ (дата обращения: 16.04.2026).</w:t>
      </w:r>
    </w:p>
  </w:footnote>
  <w:footnote w:id="37">
    <w:p>
      <w:pPr>
        <w:pStyle w:val="FootnoteText"/>
      </w:pPr>
      <w:r>
        <w:rPr>
          <w:rStyle w:val="FootnoteReference"/>
        </w:rPr>
        <w:footnoteRef/>
      </w:r>
      <w:r>
        <w:t xml:space="preserve"> </w:t>
      </w:r>
      <w:r>
        <w:t xml:space="preserve">Федеральный закон от 27.07.2006 N 152-ФЗ. Ст. 10, 10.1, 11 (ред. от 24.06.2025). URL: https://www.consultant.ru/document/cons_doc_LAW_61801/; ст. 10: https://www.consultant.ru/document/cons_doc_LAW_61801/26edb2934b899bf9c74c3a8f7e574651c6565e6d/ (дата обращения: 16.04.2026).</w:t>
      </w:r>
    </w:p>
  </w:footnote>
  <w:footnote w:id="38">
    <w:p>
      <w:pPr>
        <w:pStyle w:val="FootnoteText"/>
      </w:pPr>
      <w:r>
        <w:rPr>
          <w:rStyle w:val="FootnoteReference"/>
        </w:rPr>
        <w:footnoteRef/>
      </w:r>
      <w:r>
        <w:t xml:space="preserve"> </w:t>
      </w:r>
      <w:r>
        <w:t xml:space="preserve">Regulation (EU) 2016/679 (GDPR). Art. 4(14), Art. 9(1), Recital 51. URL: https://eur-lex.europa.eu/eli/reg/2016/679/oj (дата обращения: 16.04.2026).</w:t>
      </w:r>
    </w:p>
  </w:footnote>
  <w:footnote w:id="39">
    <w:p>
      <w:pPr>
        <w:pStyle w:val="FootnoteText"/>
      </w:pPr>
      <w:r>
        <w:rPr>
          <w:rStyle w:val="FootnoteReference"/>
        </w:rPr>
        <w:footnoteRef/>
      </w:r>
      <w:r>
        <w:t xml:space="preserve"> </w:t>
      </w:r>
      <w:r>
        <w:t xml:space="preserve">Федеральный закон от 29.12.2022 N 572-ФЗ. Ст. 3, ч. 8. URL: https://www.consultant.ru/document/cons_doc_LAW_436110/15f0efd3c8311b53608abd85f9c02157e1457f55/ (дата обращения: 16.04.2026); Regulation (EU) 2016/679 (GDPR). Art. 4(13), 4(14). URL: https://eur-lex.europa.eu/eli/reg/2016/679/oj (дата обращения: 16.04.2026).</w:t>
      </w:r>
    </w:p>
  </w:footnote>
  <w:footnote w:id="41">
    <w:p>
      <w:pPr>
        <w:pStyle w:val="FootnoteText"/>
      </w:pPr>
      <w:r>
        <w:rPr>
          <w:rStyle w:val="FootnoteReference"/>
        </w:rPr>
        <w:footnoteRef/>
      </w:r>
      <w:r>
        <w:t xml:space="preserve"> </w:t>
      </w:r>
      <w:r>
        <w:t xml:space="preserve">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w:t>
      </w:r>
      <w:r>
        <w:t xml:space="preserve"> </w:t>
      </w:r>
      <w:r>
        <w:t xml:space="preserve">(ред. от 28.12.2024). Ст. 2, 3, 4, 9, 10. URL: https://www.consultant.ru/document/cons_doc_LAW_436110/ (дата обращения: 16.04.2026).</w:t>
      </w:r>
    </w:p>
  </w:footnote>
  <w:footnote w:id="42">
    <w:p>
      <w:pPr>
        <w:pStyle w:val="FootnoteText"/>
      </w:pPr>
      <w:r>
        <w:rPr>
          <w:rStyle w:val="FootnoteReference"/>
        </w:rPr>
        <w:footnoteRef/>
      </w:r>
      <w:r>
        <w:t xml:space="preserve"> </w:t>
      </w:r>
      <w:r>
        <w:t xml:space="preserve">Мочалов А. Н. Цифровой профиль: основные риски для конституционных прав человека в условиях правовой неопределенности //</w:t>
      </w:r>
      <w:r>
        <w:t xml:space="preserve"> </w:t>
      </w:r>
      <w:r>
        <w:rPr>
          <w:i/>
          <w:iCs/>
        </w:rPr>
        <w:t xml:space="preserve">Lex Russica</w:t>
      </w:r>
      <w:r>
        <w:t xml:space="preserve">. 2021. Т. 74. N 9(178). С. 88-101. DOI: 10.17803/1729-5920.2021.178.9.088-101. URL: https://cyberleninka.ru/article/n/tsifrovoy-profil-osnovnye-riski-dlya-konstitutsionnyh-prav-cheloveka-v-usloviyah-pravovoy-neopredelennosti (дата обращения: 16.04.2026); Талапина Э. В., Антопольский А. А., Монахова В. Н.</w:t>
      </w:r>
      <w:r>
        <w:t xml:space="preserve"> </w:t>
      </w:r>
      <w:r>
        <w:rPr>
          <w:i/>
          <w:iCs/>
        </w:rPr>
        <w:t xml:space="preserve">Права человека в эпоху интернета: публично-правовой аспект</w:t>
      </w:r>
      <w:r>
        <w:t xml:space="preserve">. М.: Проспект, 2023. URL: https://mdk-arbat.ru/book/6643708 (дата обращения: 16.04.2026).</w:t>
      </w:r>
    </w:p>
  </w:footnote>
  <w:footnote w:id="43">
    <w:p>
      <w:pPr>
        <w:pStyle w:val="FootnoteText"/>
      </w:pPr>
      <w:r>
        <w:rPr>
          <w:rStyle w:val="FootnoteReference"/>
        </w:rPr>
        <w:footnoteRef/>
      </w:r>
      <w:r>
        <w:t xml:space="preserve"> </w:t>
      </w:r>
      <w:r>
        <w:t xml:space="preserve">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w:t>
      </w:r>
      <w:r>
        <w:t xml:space="preserve"> </w:t>
      </w:r>
      <w:r>
        <w:t xml:space="preserve">(ред. от 28.12.2024). Ст. 2, 3, 4, 9, 10. URL: https://www.consultant.ru/document/cons_doc_LAW_436110/ (дата обращения: 16.04.2026).</w:t>
      </w:r>
    </w:p>
  </w:footnote>
  <w:footnote w:id="44">
    <w:p>
      <w:pPr>
        <w:pStyle w:val="FootnoteText"/>
      </w:pPr>
      <w:r>
        <w:rPr>
          <w:rStyle w:val="FootnoteReference"/>
        </w:rPr>
        <w:footnoteRef/>
      </w:r>
      <w:r>
        <w:t xml:space="preserve"> </w:t>
      </w:r>
      <w:r>
        <w:t xml:space="preserve">Приказ Минцифры России от 19.06.2025 N 553</w:t>
      </w:r>
      <w:r>
        <w:t xml:space="preserve"> </w:t>
      </w:r>
      <w:r>
        <w:t xml:space="preserve">“О внесении изменений в приложения N N 1, 2 и 5 к приказу Министерства цифрового развития, связи и массовых коммуникаций Российской Федерации от 12 мая 2023 г. N 453”</w:t>
      </w:r>
      <w:r>
        <w:t xml:space="preserve"> </w:t>
      </w:r>
      <w:r>
        <w:t xml:space="preserve">(зарегистрирован в Минюсте России 17.09.2025 N 83555; номер опубликования: 0001202509170002). URL: https://publication.pravo.gov.ru/document/0001202509170002 (дата обращения: 16.04.2026).</w:t>
      </w:r>
    </w:p>
  </w:footnote>
  <w:footnote w:id="45">
    <w:p>
      <w:pPr>
        <w:pStyle w:val="FootnoteText"/>
      </w:pPr>
      <w:r>
        <w:rPr>
          <w:rStyle w:val="FootnoteReference"/>
        </w:rPr>
        <w:footnoteRef/>
      </w:r>
      <w:r>
        <w:t xml:space="preserve"> </w:t>
      </w:r>
      <w:r>
        <w:t xml:space="preserve">Мочалов А. Н. Цифровой профиль: основные риски для конституционных прав человека в условиях правовой неопределенности //</w:t>
      </w:r>
      <w:r>
        <w:t xml:space="preserve"> </w:t>
      </w:r>
      <w:r>
        <w:rPr>
          <w:i/>
          <w:iCs/>
        </w:rPr>
        <w:t xml:space="preserve">Lex Russica</w:t>
      </w:r>
      <w:r>
        <w:t xml:space="preserve">. 2021. Т. 74. N 9(178). С. 88-101. DOI: 10.17803/1729-5920.2021.178.9.088-101. URL: https://cyberleninka.ru/article/n/tsifrovoy-profil-osnovnye-riski-dlya-konstitutsionnyh-prav-cheloveka-v-usloviyah-pravovoy-neopredelennosti (дата обращения: 16.04.2026); Талапина Э. В., Антопольский А. А., Монахова В. Н.</w:t>
      </w:r>
      <w:r>
        <w:t xml:space="preserve"> </w:t>
      </w:r>
      <w:r>
        <w:rPr>
          <w:i/>
          <w:iCs/>
        </w:rPr>
        <w:t xml:space="preserve">Права человека в эпоху интернета: публично-правовой аспект</w:t>
      </w:r>
      <w:r>
        <w:t xml:space="preserve">. М.: Проспект, 2023. URL: https://mdk-arbat.ru/book/6643708 (дата обращения: 16.04.2026).</w:t>
      </w:r>
    </w:p>
  </w:footnote>
  <w:footnote w:id="46">
    <w:p>
      <w:pPr>
        <w:pStyle w:val="FootnoteText"/>
      </w:pPr>
      <w:r>
        <w:rPr>
          <w:rStyle w:val="FootnoteReference"/>
        </w:rPr>
        <w:footnoteRef/>
      </w:r>
      <w:r>
        <w:t xml:space="preserve"> </w:t>
      </w:r>
      <w:r>
        <w:t xml:space="preserve">Постановление Правительства РФ от 15.06.2022 N 1067</w:t>
      </w:r>
      <w:r>
        <w:t xml:space="preserve"> </w:t>
      </w:r>
      <w:r>
        <w:t xml:space="preserve">“О случаях и сроках использования биометрических персональных данных, размещенных физическим лицом в единой биометрической системе с использованием мобильного приложения единой биометрической системы”</w:t>
      </w:r>
      <w:r>
        <w:t xml:space="preserve"> </w:t>
      </w:r>
      <w:r>
        <w:t xml:space="preserve">(в ред. постановлений Правительства РФ от 18.01.2025 N 15, от 07.08.2025 N 1183, от 19.09.2025 N 1443). URL: https://government.ru/docs/all/141579/ (дата обращения: 16.04.2026); Постановление Правительства РФ от 07.08.2025 N 1183</w:t>
      </w:r>
      <w:r>
        <w:t xml:space="preserve"> </w:t>
      </w:r>
      <w:r>
        <w:t xml:space="preserve">“О внесении изменений в некоторые акты Правительства Российской Федерации”</w:t>
      </w:r>
      <w:r>
        <w:t xml:space="preserve">. URL: https://government.ru/docs/all/160478/ (дата обращения: 16.04.2026).</w:t>
      </w:r>
    </w:p>
  </w:footnote>
  <w:footnote w:id="47">
    <w:p>
      <w:pPr>
        <w:pStyle w:val="FootnoteText"/>
      </w:pPr>
      <w:r>
        <w:rPr>
          <w:rStyle w:val="FootnoteReference"/>
        </w:rPr>
        <w:footnoteRef/>
      </w:r>
      <w:r>
        <w:t xml:space="preserve"> </w:t>
      </w:r>
      <w:r>
        <w:t xml:space="preserve">Дмитрий Григоренко: Правительство внесло в Госдуму законопроект о биометрии в системах управления доступом // Правительство России. 24.01.2026. Законопроект N 1131094-8. URL: https://government.ru/news/57680/ (дата обращения: 16.04.2026).</w:t>
      </w:r>
    </w:p>
  </w:footnote>
  <w:footnote w:id="48">
    <w:p>
      <w:pPr>
        <w:pStyle w:val="FootnoteText"/>
      </w:pPr>
      <w:r>
        <w:rPr>
          <w:rStyle w:val="FootnoteReference"/>
        </w:rPr>
        <w:footnoteRef/>
      </w:r>
      <w:r>
        <w:t xml:space="preserve"> </w:t>
      </w:r>
      <w:r>
        <w:t xml:space="preserve">Федеральный закон от 01.04.2025 N 41-ФЗ</w:t>
      </w:r>
      <w:r>
        <w:t xml:space="preserve"> </w:t>
      </w:r>
      <w:r>
        <w:t xml:space="preserve">“О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Российской Федерации”</w:t>
      </w:r>
      <w:r>
        <w:t xml:space="preserve">. Номер опубликования: 0001202504010010. URL: https://publication.pravo.gov.ru/document/0001202504010010 (дата обращения: 16.04.2026).</w:t>
      </w:r>
    </w:p>
  </w:footnote>
  <w:footnote w:id="49">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50">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51">
    <w:p>
      <w:pPr>
        <w:pStyle w:val="FootnoteText"/>
      </w:pPr>
      <w:r>
        <w:rPr>
          <w:rStyle w:val="FootnoteReference"/>
        </w:rPr>
        <w:footnoteRef/>
      </w:r>
      <w:r>
        <w:t xml:space="preserve"> </w:t>
      </w:r>
      <w:r>
        <w:t xml:space="preserve">Основные направления развития финансового рынка Российской Федерации на 2026 год и период 2027 и 2028 годов // Банк России. URL: https://www.cbr.ru/Content/Document/File/181362/onrfr_2026_2028.pdf (дата обращения: 16.04.2026); Вестник Банка России N 2 (2591) от 21.01.2026. URL: https://www.cbr.ru/Queries/XsltBlock/File/185926/-1/2591 (дата обращения: 16.04.2026).</w:t>
      </w:r>
    </w:p>
  </w:footnote>
  <w:footnote w:id="52">
    <w:p>
      <w:pPr>
        <w:pStyle w:val="FootnoteText"/>
      </w:pPr>
      <w:r>
        <w:rPr>
          <w:rStyle w:val="FootnoteReference"/>
        </w:rPr>
        <w:footnoteRef/>
      </w:r>
      <w:r>
        <w:t xml:space="preserve"> </w:t>
      </w:r>
      <w:r>
        <w:t xml:space="preserve">Основные направления развития финансового рынка Российской Федерации на 2026 год и период 2027 и 2028 годов // Банк России. URL: https://www.cbr.ru/Content/Document/File/181362/onrfr_2026_2028.pdf (дата обращения: 16.04.2026); Вестник Банка России N 2 (2591) от 21.01.2026. URL: https://www.cbr.ru/Queries/XsltBlock/File/185926/-1/2591 (дата обращения: 16.04.2026).</w:t>
      </w:r>
    </w:p>
  </w:footnote>
  <w:footnote w:id="53">
    <w:p>
      <w:pPr>
        <w:pStyle w:val="FootnoteText"/>
      </w:pPr>
      <w:r>
        <w:rPr>
          <w:rStyle w:val="FootnoteReference"/>
        </w:rPr>
        <w:footnoteRef/>
      </w:r>
      <w:r>
        <w:t xml:space="preserve"> </w:t>
      </w:r>
      <w:r>
        <w:t xml:space="preserve">Вопросы и ответы // Банк России. Обновлено: 18.02.2026. URL: https://www.cbr.ru/fintech/faq_fintech/ (дата обращения: 16.04.2026).</w:t>
      </w:r>
    </w:p>
  </w:footnote>
  <w:footnote w:id="54">
    <w:p>
      <w:pPr>
        <w:pStyle w:val="FootnoteText"/>
      </w:pPr>
      <w:r>
        <w:rPr>
          <w:rStyle w:val="FootnoteReference"/>
        </w:rPr>
        <w:footnoteRef/>
      </w:r>
      <w:r>
        <w:t xml:space="preserve"> </w:t>
      </w:r>
      <w:r>
        <w:t xml:space="preserve">Основные направления развития финансового рынка Российской Федерации на 2026 год и период 2027 и 2028 годов // Банк России. URL: https://www.cbr.ru/Content/Document/File/181362/onrfr_2026_2028.pdf (дата обращения: 16.04.2026); Вестник Банка России N 2 (2591) от 21.01.2026. URL: https://www.cbr.ru/Queries/XsltBlock/File/185926/-1/2591 (дата обращения: 16.04.2026).</w:t>
      </w:r>
    </w:p>
  </w:footnote>
  <w:footnote w:id="55">
    <w:p>
      <w:pPr>
        <w:pStyle w:val="FootnoteText"/>
      </w:pPr>
      <w:r>
        <w:rPr>
          <w:rStyle w:val="FootnoteReference"/>
        </w:rPr>
        <w:footnoteRef/>
      </w:r>
      <w:r>
        <w:t xml:space="preserve"> </w:t>
      </w:r>
      <w:r>
        <w:t xml:space="preserve">Дмитрий Григоренко проинспектировал реализацию сервиса оплаты проезда в метро по биометрии в Нижегородской области // Правительство России. 21.01.2025. URL: https://government.ru/news/54022/ (дата обращения: 16.04.2026); Дмитрий Григоренко: В России успешно испытали сервис посадки на поезд по биометрии // Правительство России. 25.12.2025. URL: https://government.ru/news/57411/ (дата обращения: 16.04.2026).</w:t>
      </w:r>
    </w:p>
  </w:footnote>
  <w:footnote w:id="56">
    <w:p>
      <w:pPr>
        <w:pStyle w:val="FootnoteText"/>
      </w:pPr>
      <w:r>
        <w:rPr>
          <w:rStyle w:val="FootnoteReference"/>
        </w:rPr>
        <w:footnoteRef/>
      </w:r>
      <w:r>
        <w:t xml:space="preserve"> </w:t>
      </w:r>
      <w:r>
        <w:t xml:space="preserve">Дмитрий Григоренко проинспектировал реализацию сервиса оплаты проезда в метро по биометрии в Нижегородской области // Правительство России. 21.01.2025. URL: https://government.ru/news/54022/ (дата обращения: 16.04.2026); Дмитрий Григоренко: В России успешно испытали сервис посадки на поезд по биометрии // Правительство России. 25.12.2025. URL: https://government.ru/news/57411/ (дата обращения: 16.04.2026).</w:t>
      </w:r>
    </w:p>
  </w:footnote>
  <w:footnote w:id="57">
    <w:p>
      <w:pPr>
        <w:pStyle w:val="FootnoteText"/>
      </w:pPr>
      <w:r>
        <w:rPr>
          <w:rStyle w:val="FootnoteReference"/>
        </w:rPr>
        <w:footnoteRef/>
      </w:r>
      <w:r>
        <w:t xml:space="preserve"> </w:t>
      </w:r>
      <w:r>
        <w:t xml:space="preserve">Постановление Правительства РФ от 21.02.2026 N 174</w:t>
      </w:r>
      <w:r>
        <w:t xml:space="preserve"> </w:t>
      </w:r>
      <w:r>
        <w:t xml:space="preserve">“О внесении изменений в акты Правительства Российской Федерации”</w:t>
      </w:r>
      <w:r>
        <w:t xml:space="preserve">. URL: https://government.ru/docs/all/163611/ (дата обращения: 16.04.2026); Правила предоставления гостиничных услуг в Российской Федерации в актуальной редакции, учитывающей использование ЕБС. URL: https://government.ru/docs/all/130977/ (дата обращения: 16.04.2026).</w:t>
      </w:r>
    </w:p>
  </w:footnote>
  <w:footnote w:id="58">
    <w:p>
      <w:pPr>
        <w:pStyle w:val="FootnoteText"/>
      </w:pPr>
      <w:r>
        <w:rPr>
          <w:rStyle w:val="FootnoteReference"/>
        </w:rPr>
        <w:footnoteRef/>
      </w:r>
      <w:r>
        <w:t xml:space="preserve"> </w:t>
      </w:r>
      <w:r>
        <w:t xml:space="preserve">Постановление Правительства РФ от 21.02.2026 N 174</w:t>
      </w:r>
      <w:r>
        <w:t xml:space="preserve"> </w:t>
      </w:r>
      <w:r>
        <w:t xml:space="preserve">“О внесении изменений в акты Правительства Российской Федерации”</w:t>
      </w:r>
      <w:r>
        <w:t xml:space="preserve">. URL: https://government.ru/docs/all/163611/ (дата обращения: 16.04.2026); Правила предоставления гостиничных услуг в Российской Федерации в актуальной редакции, учитывающей использование ЕБС. URL: https://government.ru/docs/all/130977/ (дата обращения: 16.04.2026).</w:t>
      </w:r>
    </w:p>
  </w:footnote>
  <w:footnote w:id="59">
    <w:p>
      <w:pPr>
        <w:pStyle w:val="FootnoteText"/>
      </w:pPr>
      <w:r>
        <w:rPr>
          <w:rStyle w:val="FootnoteReference"/>
        </w:rPr>
        <w:footnoteRef/>
      </w:r>
      <w:r>
        <w:t xml:space="preserve"> </w:t>
      </w:r>
      <w:r>
        <w:t xml:space="preserve">Федеральный закон от 29.12.2022 N 572-ФЗ. Ст. 3, ч. 11-13, 16-18. URL: https://www.consultant.ru/document/cons_doc_LAW_436110/15f0efd3c8311b53608abd85f9c02157e1457f55/ (дата обращения: 16.04.2026); 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П. 2-4. URL: https://www.consultant.ru/document/cons_doc_LAW_385041/ (дата обращения: 16.04.2026).</w:t>
      </w:r>
    </w:p>
  </w:footnote>
  <w:footnote w:id="60">
    <w:p>
      <w:pPr>
        <w:pStyle w:val="FootnoteText"/>
      </w:pPr>
      <w:r>
        <w:rPr>
          <w:rStyle w:val="FootnoteReference"/>
        </w:rPr>
        <w:footnoteRef/>
      </w:r>
      <w:r>
        <w:t xml:space="preserve"> </w:t>
      </w:r>
      <w:r>
        <w:t xml:space="preserve">Постановление Правительства РФ от 15.06.2022 N 1067</w:t>
      </w:r>
      <w:r>
        <w:t xml:space="preserve"> </w:t>
      </w:r>
      <w:r>
        <w:t xml:space="preserve">“О случаях и сроках использования биометрических персональных данных, размещенных физическим лицом в единой биометрической системе с использованием мобильного приложения единой биометрической системы”</w:t>
      </w:r>
      <w:r>
        <w:t xml:space="preserve"> </w:t>
      </w:r>
      <w:r>
        <w:t xml:space="preserve">(в ред. постановлений Правительства РФ от 18.01.2025 N 15, от 07.08.2025 N 1183, от 19.09.2025 N 1443). URL: https://government.ru/docs/all/141579/ (дата обращения: 16.04.2026); Постановление Правительства РФ от 07.08.2025 N 1183</w:t>
      </w:r>
      <w:r>
        <w:t xml:space="preserve"> </w:t>
      </w:r>
      <w:r>
        <w:t xml:space="preserve">“О внесении изменений в некоторые акты Правительства Российской Федерации”</w:t>
      </w:r>
      <w:r>
        <w:t xml:space="preserve">. URL: https://government.ru/docs/all/160478/ (дата обращения: 16.04.2026).</w:t>
      </w:r>
    </w:p>
  </w:footnote>
  <w:footnote w:id="61">
    <w:p>
      <w:pPr>
        <w:pStyle w:val="FootnoteText"/>
      </w:pPr>
      <w:r>
        <w:rPr>
          <w:rStyle w:val="FootnoteReference"/>
        </w:rPr>
        <w:footnoteRef/>
      </w:r>
      <w:r>
        <w:t xml:space="preserve"> </w:t>
      </w:r>
      <w:r>
        <w:t xml:space="preserve">Дмитрий Григоренко: Правительство внесло в Госдуму законопроект о биометрии в системах управления доступом // Правительство России. 24.01.2026. Законопроект N 1131094-8. URL: https://government.ru/news/57680/ (дата обращения: 16.04.2026).</w:t>
      </w:r>
    </w:p>
  </w:footnote>
  <w:footnote w:id="62">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63">
    <w:p>
      <w:pPr>
        <w:pStyle w:val="FootnoteText"/>
      </w:pPr>
      <w:r>
        <w:rPr>
          <w:rStyle w:val="FootnoteReference"/>
        </w:rPr>
        <w:footnoteRef/>
      </w:r>
      <w:r>
        <w:t xml:space="preserve"> </w:t>
      </w:r>
      <w:r>
        <w:t xml:space="preserve">Дмитрий Григоренко проинспектировал реализацию сервиса оплаты проезда в метро по биометрии в Нижегородской области // Правительство России. 21.01.2025. URL: https://government.ru/news/54022/ (дата обращения: 16.04.2026); Дмитрий Григоренко: В России успешно испытали сервис посадки на поезд по биометрии // Правительство России. 25.12.2025. URL: https://government.ru/news/57411/ (дата обращения: 16.04.2026).</w:t>
      </w:r>
    </w:p>
  </w:footnote>
  <w:footnote w:id="64">
    <w:p>
      <w:pPr>
        <w:pStyle w:val="FootnoteText"/>
      </w:pPr>
      <w:r>
        <w:rPr>
          <w:rStyle w:val="FootnoteReference"/>
        </w:rPr>
        <w:footnoteRef/>
      </w:r>
      <w:r>
        <w:t xml:space="preserve"> </w:t>
      </w:r>
      <w:r>
        <w:t xml:space="preserve">Постановление Правительства РФ от 21.02.2026 N 174</w:t>
      </w:r>
      <w:r>
        <w:t xml:space="preserve"> </w:t>
      </w:r>
      <w:r>
        <w:t xml:space="preserve">“О внесении изменений в акты Правительства Российской Федерации”</w:t>
      </w:r>
      <w:r>
        <w:t xml:space="preserve">. URL: https://government.ru/docs/all/163611/ (дата обращения: 16.04.2026); Правила предоставления гостиничных услуг в Российской Федерации в актуальной редакции, учитывающей использование ЕБС. URL: https://government.ru/docs/all/130977/ (дата обращения: 16.04.2026).</w:t>
      </w:r>
    </w:p>
  </w:footnote>
  <w:footnote w:id="67">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w:t>
      </w:r>
      <w:r>
        <w:t xml:space="preserve">(ред. от 24.06.2025). URL: https://www.consultant.ru/document/cons_doc_LAW_61801/; Федеральный закон от 29.12.2022 N 572-ФЗ</w:t>
      </w:r>
      <w:r>
        <w:t xml:space="preserve"> </w:t>
      </w:r>
      <w:r>
        <w:t xml:space="preserve">“Об осуществлении идентификации и (или) аутентификации физических лиц с использованием биометрических персональных данных…”</w:t>
      </w:r>
      <w:r>
        <w:t xml:space="preserve"> </w:t>
      </w:r>
      <w:r>
        <w:t xml:space="preserve">(ред. от 28.12.2024). URL: https://www.consultant.ru/document/cons_doc_LAW_436110/ (дата обращения: 16.04.2026).</w:t>
      </w:r>
    </w:p>
  </w:footnote>
  <w:footnote w:id="68">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w:t>
      </w:r>
      <w:r>
        <w:t xml:space="preserve">(ред. от 24.06.2025). Ст. 2, ст. 5. URL: https://www.consultant.ru/document/cons_doc_LAW_61801/; https://www.consultant.ru/document/cons_doc_LAW_61801/96fbc469f91f57235cc842a85e0516a99f23dc85/ (дата обращения: 16.04.2026).</w:t>
      </w:r>
    </w:p>
  </w:footnote>
  <w:footnote w:id="69">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Ст. 9 (в ред. от 24.06.2025). URL: https://www.consultant.ru/document/cons_doc_LAW_61801/6c94959bc017ac80140621762d2ac59f6006b08c/ (дата обращения: 16.04.2026).</w:t>
      </w:r>
    </w:p>
  </w:footnote>
  <w:footnote w:id="70">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Ст. 11, ч. 1-3. URL: https://www.consultant.ru/document/cons_doc_LAW_61801/7336c78762a98b5f4f698b8c3800dca1111acc16/ (дата обращения: 16.04.2026).</w:t>
      </w:r>
    </w:p>
  </w:footnote>
  <w:footnote w:id="71">
    <w:p>
      <w:pPr>
        <w:pStyle w:val="FootnoteText"/>
      </w:pPr>
      <w:r>
        <w:rPr>
          <w:rStyle w:val="FootnoteReference"/>
        </w:rPr>
        <w:footnoteRef/>
      </w:r>
      <w:r>
        <w:t xml:space="preserve"> </w:t>
      </w:r>
      <w:r>
        <w:t xml:space="preserve">Федеральный закон от 29.12.2022 N 572-ФЗ. Ст. 2, п. 4; ст. 8, ч. 1. URL: https://www.consultant.ru/document/cons_doc_LAW_436110/c5051782233acca771e9adb35b47d3fb82c9ff1c/; https://www.consultant.ru/document/cons_doc_LAW_436110/3a108d4b8ab193b90666a1cc410b2c5a7b6064ed/ (дата обращения: 16.04.2026).</w:t>
      </w:r>
    </w:p>
  </w:footnote>
  <w:footnote w:id="72">
    <w:p>
      <w:pPr>
        <w:pStyle w:val="FootnoteText"/>
      </w:pPr>
      <w:r>
        <w:rPr>
          <w:rStyle w:val="FootnoteReference"/>
        </w:rPr>
        <w:footnoteRef/>
      </w:r>
      <w:r>
        <w:t xml:space="preserve"> </w:t>
      </w:r>
      <w:r>
        <w:t xml:space="preserve">Федеральный закон от 29.12.2022 N 572-ФЗ. Ст. 3, ч. 1-3. URL: https://www.consultant.ru/document/cons_doc_LAW_436110/15f0efd3c8311b53608abd85f9c02157e1457f55/ (дата обращения: 16.04.2026).</w:t>
      </w:r>
    </w:p>
  </w:footnote>
  <w:footnote w:id="73">
    <w:p>
      <w:pPr>
        <w:pStyle w:val="FootnoteText"/>
      </w:pPr>
      <w:r>
        <w:rPr>
          <w:rStyle w:val="FootnoteReference"/>
        </w:rPr>
        <w:footnoteRef/>
      </w:r>
      <w:r>
        <w:t xml:space="preserve"> </w:t>
      </w:r>
      <w:r>
        <w:t xml:space="preserve">Федеральный закон от 29.12.2022 N 572-ФЗ. Ст. 3, ч. 11-13. URL: https://www.consultant.ru/document/cons_doc_LAW_436110/15f0efd3c8311b53608abd85f9c02157e1457f55/ (дата обращения: 16.04.2026).</w:t>
      </w:r>
    </w:p>
  </w:footnote>
  <w:footnote w:id="74">
    <w:p>
      <w:pPr>
        <w:pStyle w:val="FootnoteText"/>
      </w:pPr>
      <w:r>
        <w:rPr>
          <w:rStyle w:val="FootnoteReference"/>
        </w:rPr>
        <w:footnoteRef/>
      </w:r>
      <w:r>
        <w:t xml:space="preserve"> </w:t>
      </w:r>
      <w:r>
        <w:t xml:space="preserve">Федеральный закон от 29.12.2022 N 572-ФЗ. Ст. 3, ч. 14-18. URL: https://www.consultant.ru/document/cons_doc_LAW_436110/15f0efd3c8311b53608abd85f9c02157e1457f55/ (дата обращения: 16.04.2026).</w:t>
      </w:r>
    </w:p>
  </w:footnote>
  <w:footnote w:id="75">
    <w:p>
      <w:pPr>
        <w:pStyle w:val="FootnoteText"/>
      </w:pPr>
      <w:r>
        <w:rPr>
          <w:rStyle w:val="FootnoteReference"/>
        </w:rPr>
        <w:footnoteRef/>
      </w:r>
      <w:r>
        <w:t xml:space="preserve"> </w:t>
      </w:r>
      <w:r>
        <w:t xml:space="preserve">Федеральный закон от 29.12.2022 N 572-ФЗ. Ст. 3, ч. 8. URL: https://www.consultant.ru/document/cons_doc_LAW_436110/15f0efd3c8311b53608abd85f9c02157e1457f55/ (дата обращения: 16.04.2026).</w:t>
      </w:r>
    </w:p>
  </w:footnote>
  <w:footnote w:id="76">
    <w:p>
      <w:pPr>
        <w:pStyle w:val="FootnoteText"/>
      </w:pPr>
      <w:r>
        <w:rPr>
          <w:rStyle w:val="FootnoteReference"/>
        </w:rPr>
        <w:footnoteRef/>
      </w:r>
      <w:r>
        <w:t xml:space="preserve"> </w:t>
      </w:r>
      <w:r>
        <w:t xml:space="preserve">Федеральный закон от 29.12.2022 N 572-ФЗ. Ст. 4, ч. 1-13; ст. 9, ч. 3-5; ст. 10, ч. 1-6. URL: https://www.consultant.ru/document/cons_doc_LAW_436110/10aee05e12277c35818b46632ac3c9dd2d327657/; https://www.consultant.ru/document/cons_doc_LAW_436110/eb49e4b6b3961c97b3a6a669352f5e911234ccf1/; https://www.consultant.ru/document/cons_doc_LAW_436110/f3008796e35445a5adad9236c1a058645dc1fc4a/ (дата обращения: 16.04.2026).</w:t>
      </w:r>
    </w:p>
  </w:footnote>
  <w:footnote w:id="77">
    <w:p>
      <w:pPr>
        <w:pStyle w:val="FootnoteText"/>
      </w:pPr>
      <w:r>
        <w:rPr>
          <w:rStyle w:val="FootnoteReference"/>
        </w:rPr>
        <w:footnoteRef/>
      </w:r>
      <w:r>
        <w:t xml:space="preserve"> </w:t>
      </w:r>
      <w:r>
        <w:t xml:space="preserve">Федеральный закон от 29.12.2022 N 572-ФЗ. Ст. 4, ч. 2-5; ст. 9, ч. 3; ст. 10, ч. 2-4; ст. 26. URL: https://www.consultant.ru/document/cons_doc_LAW_436110/10aee05e12277c35818b46632ac3c9dd2d327657/; https://www.consultant.ru/document/cons_doc_LAW_436110/eb49e4b6b3961c97b3a6a669352f5e911234ccf1/; https://www.consultant.ru/document/cons_doc_LAW_436110/f3008796e35445a5adad9236c1a058645dc1fc4a/; https://www.consultant.ru/document/cons_doc_LAW_436110/4a2a63d890bdf41696c2c210ccc50ca55aacfa15/ (дата обращения: 16.04.2026).</w:t>
      </w:r>
    </w:p>
  </w:footnote>
  <w:footnote w:id="78">
    <w:p>
      <w:pPr>
        <w:pStyle w:val="FootnoteText"/>
      </w:pPr>
      <w:r>
        <w:rPr>
          <w:rStyle w:val="FootnoteReference"/>
        </w:rPr>
        <w:footnoteRef/>
      </w:r>
      <w:r>
        <w:t xml:space="preserve"> </w:t>
      </w:r>
      <w:r>
        <w:t xml:space="preserve">Постановление Правительства РФ от 01.04.2024 N 408</w:t>
      </w:r>
      <w:r>
        <w:t xml:space="preserve"> </w:t>
      </w:r>
      <w:r>
        <w:t xml:space="preserve">“О видах биометрических персональных данных, на которые распространяется действие Федерального закона…”</w:t>
      </w:r>
      <w:r>
        <w:t xml:space="preserve"> </w:t>
      </w:r>
      <w:r>
        <w:t xml:space="preserve">URL: https://publication.pravo.gov.ru/document/0001202404050032 (дата обращения: 16.04.2026).</w:t>
      </w:r>
    </w:p>
  </w:footnote>
  <w:footnote w:id="79">
    <w:p>
      <w:pPr>
        <w:pStyle w:val="FootnoteText"/>
      </w:pPr>
      <w:r>
        <w:rPr>
          <w:rStyle w:val="FootnoteReference"/>
        </w:rPr>
        <w:footnoteRef/>
      </w:r>
      <w:r>
        <w:t xml:space="preserve"> </w:t>
      </w:r>
      <w:r>
        <w:t xml:space="preserve">Постановление Правительства РФ от 17.03.2023 N 405</w:t>
      </w:r>
      <w:r>
        <w:t xml:space="preserve"> </w:t>
      </w:r>
      <w:r>
        <w:t xml:space="preserve">“Об утверждении Правил получения согласия, указанного в пункте 6 части 5 статьи 26 Федерального закона…”</w:t>
      </w:r>
      <w:r>
        <w:t xml:space="preserve"> </w:t>
      </w:r>
      <w:r>
        <w:t xml:space="preserve">URL: https://publication.pravo.gov.ru/Document/View/0001202303200017?index=2 (дата обращения: 16.04.2026).</w:t>
      </w:r>
    </w:p>
  </w:footnote>
  <w:footnote w:id="80">
    <w:p>
      <w:pPr>
        <w:pStyle w:val="FootnoteText"/>
      </w:pPr>
      <w:r>
        <w:rPr>
          <w:rStyle w:val="FootnoteReference"/>
        </w:rPr>
        <w:footnoteRef/>
      </w:r>
      <w:r>
        <w:t xml:space="preserve"> </w:t>
      </w:r>
      <w:r>
        <w:t xml:space="preserve">Постановление Правительства РФ от 31.05.2023 N 883</w:t>
      </w:r>
      <w:r>
        <w:t xml:space="preserve"> </w:t>
      </w:r>
      <w:r>
        <w:t xml:space="preserve">“Об утверждении Положения о единой биометрической системе, в том числе о ее региональных сегментах…”</w:t>
      </w:r>
      <w:r>
        <w:t xml:space="preserve"> </w:t>
      </w:r>
      <w:r>
        <w:t xml:space="preserve">URL: https://www.consultant.ru/document/cons_doc_LAW_448591/; Постановление Правительства РФ от 21.06.2024 N 834</w:t>
      </w:r>
      <w:r>
        <w:t xml:space="preserve"> </w:t>
      </w:r>
      <w:r>
        <w:t xml:space="preserve">“Об определении организации, осуществляющей функции оператора единой биометрической системы”</w:t>
      </w:r>
      <w:r>
        <w:t xml:space="preserve">. URL: https://www.consultant.ru/document/cons_doc_LAW_479247/ (дата обращения: 16.04.2026).</w:t>
      </w:r>
    </w:p>
  </w:footnote>
  <w:footnote w:id="81">
    <w:p>
      <w:pPr>
        <w:pStyle w:val="FootnoteText"/>
      </w:pPr>
      <w:r>
        <w:rPr>
          <w:rStyle w:val="FootnoteReference"/>
        </w:rPr>
        <w:footnoteRef/>
      </w:r>
      <w:r>
        <w:t xml:space="preserve"> </w:t>
      </w:r>
      <w:r>
        <w:t xml:space="preserve">Приказ Минцифры России от 19.06.2025 N 553</w:t>
      </w:r>
      <w:r>
        <w:t xml:space="preserve"> </w:t>
      </w:r>
      <w:r>
        <w:t xml:space="preserve">“О внесении изменений в приложения N N 1, 2 и 5 к приказу Министерства цифрового развития, связи и массовых коммуникаций Российской Федерации от 12 мая 2023 г. N 453”</w:t>
      </w:r>
      <w:r>
        <w:t xml:space="preserve"> </w:t>
      </w:r>
      <w:r>
        <w:t xml:space="preserve">(зарегистрирован в Минюсте России 17.09.2025 N 83555; номер опубликования: 0001202509170002). URL: https://publication.pravo.gov.ru/document/0001202509170002; Биометрическая идентификация // КонсультантПлюс. URL: https://www.consultant.ru/document/cons_doc_LAW_507825/3d0a2a7fc6cd437c72d22a7c982f7390a9fac0ff/ (дата обращения: 16.04.2026).</w:t>
      </w:r>
    </w:p>
  </w:footnote>
  <w:footnote w:id="82">
    <w:p>
      <w:pPr>
        <w:pStyle w:val="FootnoteText"/>
      </w:pPr>
      <w:r>
        <w:rPr>
          <w:rStyle w:val="FootnoteReference"/>
        </w:rPr>
        <w:footnoteRef/>
      </w:r>
      <w:r>
        <w:t xml:space="preserve"> </w:t>
      </w:r>
      <w:r>
        <w:t xml:space="preserve">Постановление Правительства РФ от 07.08.2025 N 1183</w:t>
      </w:r>
      <w:r>
        <w:t xml:space="preserve"> </w:t>
      </w:r>
      <w:r>
        <w:t xml:space="preserve">“О внесении изменений в некоторые акты Правительства Российской Федерации”</w:t>
      </w:r>
      <w:r>
        <w:t xml:space="preserve">. URL: https://government.ru/docs/all/160478/; Постановление Правительства РФ от 15.06.2022 N 1067</w:t>
      </w:r>
      <w:r>
        <w:t xml:space="preserve"> </w:t>
      </w:r>
      <w:r>
        <w:t xml:space="preserve">“О случаях и сроках использования биометрических персональных данных, размещенных физическим лицом в единой биометрической системе с использованием мобильного приложения единой биометрической системы”</w:t>
      </w:r>
      <w:r>
        <w:t xml:space="preserve">. URL: https://government.ru/docs/all/141579/ (дата обращения: 16.04.2026).</w:t>
      </w:r>
    </w:p>
  </w:footnote>
  <w:footnote w:id="83">
    <w:p>
      <w:pPr>
        <w:pStyle w:val="FootnoteText"/>
      </w:pPr>
      <w:r>
        <w:rPr>
          <w:rStyle w:val="FootnoteReference"/>
        </w:rPr>
        <w:footnoteRef/>
      </w:r>
      <w:r>
        <w:t xml:space="preserve"> </w:t>
      </w:r>
      <w:r>
        <w:t xml:space="preserve">Федеральный закон от 29.12.2022 N 572-ФЗ. Ст. 15, ч. 1-3. URL: https://www.consultant.ru/document/cons_doc_LAW_436110/b599780118c89e6e1fba4fb8a98aa3e77fb72fcc/ (дата обращения: 16.04.2026).</w:t>
      </w:r>
    </w:p>
  </w:footnote>
  <w:footnote w:id="84">
    <w:p>
      <w:pPr>
        <w:pStyle w:val="FootnoteText"/>
      </w:pPr>
      <w:r>
        <w:rPr>
          <w:rStyle w:val="FootnoteReference"/>
        </w:rPr>
        <w:footnoteRef/>
      </w:r>
      <w:r>
        <w:t xml:space="preserve"> </w:t>
      </w:r>
      <w:r>
        <w:t xml:space="preserve">Федеральный закон от 01.04.2025 N 41-ФЗ</w:t>
      </w:r>
      <w:r>
        <w:t xml:space="preserve"> </w:t>
      </w:r>
      <w:r>
        <w:t xml:space="preserve">“О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Российской Федерации”</w:t>
      </w:r>
      <w:r>
        <w:t xml:space="preserve">. Номер опубликования: 0001202504010010. URL: https://publication.pravo.gov.ru/document/0001202504010010 (дата обращения: 16.04.2026).</w:t>
      </w:r>
    </w:p>
  </w:footnote>
  <w:footnote w:id="85">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86">
    <w:p>
      <w:pPr>
        <w:pStyle w:val="FootnoteText"/>
      </w:pPr>
      <w:r>
        <w:rPr>
          <w:rStyle w:val="FootnoteReference"/>
        </w:rPr>
        <w:footnoteRef/>
      </w:r>
      <w:r>
        <w:t xml:space="preserve"> </w:t>
      </w:r>
      <w:r>
        <w:t xml:space="preserve">Обзор операций, совершенных без добровольного согласия клиентов финансовых организаций, за 2025 год // Банк России. URL: https://www.cbr.ru/analytics/ib/operations_survey/2025/ (дата обращения: 16.04.2026).</w:t>
      </w:r>
    </w:p>
  </w:footnote>
  <w:footnote w:id="87">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88">
    <w:p>
      <w:pPr>
        <w:pStyle w:val="FootnoteText"/>
      </w:pPr>
      <w:r>
        <w:rPr>
          <w:rStyle w:val="FootnoteReference"/>
        </w:rPr>
        <w:footnoteRef/>
      </w:r>
      <w:r>
        <w:t xml:space="preserve"> </w:t>
      </w:r>
      <w:r>
        <w:t xml:space="preserve">Основные направления развития финансового рынка Российской Федерации на 2026 год и период 2027 и 2028 годов // Банк России. URL: https://www.cbr.ru/Content/Document/File/181362/onrfr_2026_2028.pdf (дата обращения: 16.04.2026).</w:t>
      </w:r>
    </w:p>
  </w:footnote>
  <w:footnote w:id="89">
    <w:p>
      <w:pPr>
        <w:pStyle w:val="FootnoteText"/>
      </w:pPr>
      <w:r>
        <w:rPr>
          <w:rStyle w:val="FootnoteReference"/>
        </w:rPr>
        <w:footnoteRef/>
      </w:r>
      <w:r>
        <w:t xml:space="preserve"> </w:t>
      </w:r>
      <w:r>
        <w:t xml:space="preserve">Открытые API // Банк России. Последнее обновление страницы: 24.12.2025. URL: https://www.cbr.ru/fintech/api/ (дата обращения: 16.04.2026).</w:t>
      </w:r>
    </w:p>
  </w:footnote>
  <w:footnote w:id="90">
    <w:p>
      <w:pPr>
        <w:pStyle w:val="FootnoteText"/>
      </w:pPr>
      <w:r>
        <w:rPr>
          <w:rStyle w:val="FootnoteReference"/>
        </w:rPr>
        <w:footnoteRef/>
      </w:r>
      <w:r>
        <w:t xml:space="preserve"> </w:t>
      </w:r>
      <w:r>
        <w:t xml:space="preserve">Операторы финансовых платформ // Банк России. Последнее обновление страницы: 28.11.2025. URL: https://www.cbr.ru/finm_infrastructure/financial_platform_operators/ (дата обращения: 16.04.2026).</w:t>
      </w:r>
    </w:p>
  </w:footnote>
  <w:footnote w:id="91">
    <w:p>
      <w:pPr>
        <w:pStyle w:val="FootnoteText"/>
      </w:pPr>
      <w:r>
        <w:rPr>
          <w:rStyle w:val="FootnoteReference"/>
        </w:rPr>
        <w:footnoteRef/>
      </w:r>
      <w:r>
        <w:t xml:space="preserve"> </w:t>
      </w:r>
      <w:r>
        <w:t xml:space="preserve">Тенденции на рынке МФО за 2025 год // Банк России. URL: https://cbr.ru/analytics/microfinance/mfo/2025_4/; Операторы финансовых платформ // Банк России. URL: https://www.cbr.ru/finm_infrastructure/financial_platform_operators/ (дата обращения: 16.04.2026).</w:t>
      </w:r>
    </w:p>
  </w:footnote>
  <w:footnote w:id="92">
    <w:p>
      <w:pPr>
        <w:pStyle w:val="FootnoteText"/>
      </w:pPr>
      <w:r>
        <w:rPr>
          <w:rStyle w:val="FootnoteReference"/>
        </w:rPr>
        <w:footnoteRef/>
      </w:r>
      <w:r>
        <w:t xml:space="preserve"> </w:t>
      </w:r>
      <w:r>
        <w:t xml:space="preserve">Вопросы и ответы // Банк России. Обновлено: 18.02.2026. URL: https://www.cbr.ru/fintech/faq_fintech/ (дата обращения: 16.04.2026).</w:t>
      </w:r>
    </w:p>
  </w:footnote>
  <w:footnote w:id="94">
    <w:p>
      <w:pPr>
        <w:pStyle w:val="FootnoteText"/>
      </w:pPr>
      <w:r>
        <w:rPr>
          <w:rStyle w:val="FootnoteReference"/>
        </w:rPr>
        <w:footnoteRef/>
      </w:r>
      <w:r>
        <w:t xml:space="preserve"> </w:t>
      </w:r>
      <w:r>
        <w:t xml:space="preserve">Федеральный закон от 29.12.2022 N 572-ФЗ. Ст. 15, ч. 1-3. URL: https://www.consultant.ru/document/cons_doc_LAW_436110/b599780118c89e6e1fba4fb8a98aa3e77fb72fcc/ (дата обращения: 16.04.2026).</w:t>
      </w:r>
    </w:p>
  </w:footnote>
  <w:footnote w:id="95">
    <w:p>
      <w:pPr>
        <w:pStyle w:val="FootnoteText"/>
      </w:pPr>
      <w:r>
        <w:rPr>
          <w:rStyle w:val="FootnoteReference"/>
        </w:rPr>
        <w:footnoteRef/>
      </w:r>
      <w:r>
        <w:t xml:space="preserve"> </w:t>
      </w:r>
      <w:r>
        <w:t xml:space="preserve">Единая биометрическая система: официальный сайт. Разделы о принципах работы, типах биометрии и доступных сервисах. URL: https://ebs.ru/ (дата обращения: 16.04.2026).</w:t>
      </w:r>
    </w:p>
  </w:footnote>
  <w:footnote w:id="96">
    <w:p>
      <w:pPr>
        <w:pStyle w:val="FootnoteText"/>
      </w:pPr>
      <w:r>
        <w:rPr>
          <w:rStyle w:val="FootnoteReference"/>
        </w:rPr>
        <w:footnoteRef/>
      </w:r>
      <w:r>
        <w:t xml:space="preserve"> </w:t>
      </w:r>
      <w:r>
        <w:t xml:space="preserve">Федеральный закон от 29.12.2022 N 572-ФЗ. Ст. 15, ч. 1-3. URL: https://www.consultant.ru/document/cons_doc_LAW_436110/b599780118c89e6e1fba4fb8a98aa3e77fb72fcc/ (дата обращения: 16.04.2026).</w:t>
      </w:r>
    </w:p>
  </w:footnote>
  <w:footnote w:id="97">
    <w:p>
      <w:pPr>
        <w:pStyle w:val="FootnoteText"/>
      </w:pPr>
      <w:r>
        <w:rPr>
          <w:rStyle w:val="FootnoteReference"/>
        </w:rPr>
        <w:footnoteRef/>
      </w:r>
      <w:r>
        <w:t xml:space="preserve"> </w:t>
      </w:r>
      <w:r>
        <w:t xml:space="preserve">Единая биометрическая система: официальный сайт. Разделы о принципах работы, типах биометрии и доступных сервисах. URL: https://ebs.ru/ (дата обращения: 16.04.2026).</w:t>
      </w:r>
    </w:p>
  </w:footnote>
  <w:footnote w:id="98">
    <w:p>
      <w:pPr>
        <w:pStyle w:val="FootnoteText"/>
      </w:pPr>
      <w:r>
        <w:rPr>
          <w:rStyle w:val="FootnoteReference"/>
        </w:rPr>
        <w:footnoteRef/>
      </w:r>
      <w:r>
        <w:t xml:space="preserve"> </w:t>
      </w:r>
      <w:r>
        <w:t xml:space="preserve">Федеральный закон от 29.12.2022 N 572-ФЗ. Ст. 15, ч. 1-3. URL: https://www.consultant.ru/document/cons_doc_LAW_436110/b599780118c89e6e1fba4fb8a98aa3e77fb72fcc/ (дата обращения: 16.04.2026).</w:t>
      </w:r>
    </w:p>
  </w:footnote>
  <w:footnote w:id="99">
    <w:p>
      <w:pPr>
        <w:pStyle w:val="FootnoteText"/>
      </w:pPr>
      <w:r>
        <w:rPr>
          <w:rStyle w:val="FootnoteReference"/>
        </w:rPr>
        <w:footnoteRef/>
      </w:r>
      <w:r>
        <w:t xml:space="preserve"> </w:t>
      </w:r>
      <w:r>
        <w:t xml:space="preserve">Федеральный закон от 29.12.2022 N 572-ФЗ. Ст. 4, ч. 1-13; ст. 9, ч. 3-5; ст. 10, ч. 1-6. URL: https://www.consultant.ru/document/cons_doc_LAW_436110/10aee05e12277c35818b46632ac3c9dd2d327657/; https://www.consultant.ru/document/cons_doc_LAW_436110/eb49e4b6b3961c97b3a6a669352f5e911234ccf1/; https://www.consultant.ru/document/cons_doc_LAW_436110/f3008796e35445a5adad9236c1a058645dc1fc4a/ (дата обращения: 16.04.2026).</w:t>
      </w:r>
    </w:p>
  </w:footnote>
  <w:footnote w:id="100">
    <w:p>
      <w:pPr>
        <w:pStyle w:val="FootnoteText"/>
      </w:pPr>
      <w:r>
        <w:rPr>
          <w:rStyle w:val="FootnoteReference"/>
        </w:rPr>
        <w:footnoteRef/>
      </w:r>
      <w:r>
        <w:t xml:space="preserve"> </w:t>
      </w:r>
      <w:r>
        <w:t xml:space="preserve">Постановление Правительства РФ от 17.03.2023 N 405</w:t>
      </w:r>
      <w:r>
        <w:t xml:space="preserve"> </w:t>
      </w:r>
      <w:r>
        <w:t xml:space="preserve">“Об утверждении Правил получения согласия, указанного в пункте 6 части 5 статьи 26 Федерального закона…”</w:t>
      </w:r>
      <w:r>
        <w:t xml:space="preserve"> </w:t>
      </w:r>
      <w:r>
        <w:t xml:space="preserve">URL: https://publication.pravo.gov.ru/Document/View/0001202303200017?index=2 (дата обращения: 16.04.2026).</w:t>
      </w:r>
    </w:p>
  </w:footnote>
  <w:footnote w:id="101">
    <w:p>
      <w:pPr>
        <w:pStyle w:val="FootnoteText"/>
      </w:pPr>
      <w:r>
        <w:rPr>
          <w:rStyle w:val="FootnoteReference"/>
        </w:rPr>
        <w:footnoteRef/>
      </w:r>
      <w:r>
        <w:t xml:space="preserve"> </w:t>
      </w:r>
      <w:r>
        <w:t xml:space="preserve">Федеральный закон от 29.12.2022 N 572-ФЗ. Ст. 3, ч. 14-18. URL: https://www.consultant.ru/document/cons_doc_LAW_436110/15f0efd3c8311b53608abd85f9c02157e1457f55/ (дата обращения: 16.04.2026).</w:t>
      </w:r>
    </w:p>
  </w:footnote>
  <w:footnote w:id="102">
    <w:p>
      <w:pPr>
        <w:pStyle w:val="FootnoteText"/>
      </w:pPr>
      <w:r>
        <w:rPr>
          <w:rStyle w:val="FootnoteReference"/>
        </w:rPr>
        <w:footnoteRef/>
      </w:r>
      <w:r>
        <w:t xml:space="preserve"> </w:t>
      </w:r>
      <w:r>
        <w:t xml:space="preserve">Помощь и популярные вопросы // Единая биометрическая система. Разъяснения о том, как управлять биометрией, удалить ее и отозвать согласия через Госуслуги, а также о возможности подать отказ через МФЦ. URL: https://ebs.ru/faq/ (дата обращения: 16.04.2026).</w:t>
      </w:r>
    </w:p>
  </w:footnote>
  <w:footnote w:id="103">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Ст. 9 (в ред. от 24.06.2025). URL: https://www.consultant.ru/document/cons_doc_LAW_61801/6c94959bc017ac80140621762d2ac59f6006b08c/ (дата обращения: 16.04.2026).</w:t>
      </w:r>
    </w:p>
  </w:footnote>
  <w:footnote w:id="104">
    <w:p>
      <w:pPr>
        <w:pStyle w:val="FootnoteText"/>
      </w:pPr>
      <w:r>
        <w:rPr>
          <w:rStyle w:val="FootnoteReference"/>
        </w:rPr>
        <w:footnoteRef/>
      </w:r>
      <w:r>
        <w:t xml:space="preserve"> </w:t>
      </w:r>
      <w:r>
        <w:t xml:space="preserve">Помощь и популярные вопросы // Единая биометрическая система. Разъяснения о том, как управлять биометрией, удалить ее и отозвать согласия через Госуслуги, а также о возможности подать отказ через МФЦ. URL: https://ebs.ru/faq/ (дата обращения: 16.04.2026).</w:t>
      </w:r>
    </w:p>
  </w:footnote>
  <w:footnote w:id="105">
    <w:p>
      <w:pPr>
        <w:pStyle w:val="FootnoteText"/>
      </w:pPr>
      <w:r>
        <w:rPr>
          <w:rStyle w:val="FootnoteReference"/>
        </w:rPr>
        <w:footnoteRef/>
      </w:r>
      <w:r>
        <w:t xml:space="preserve"> </w:t>
      </w:r>
      <w:r>
        <w:t xml:space="preserve">Федеральный закон от 29.12.2022 N 572-ФЗ. Ст. 3, ч. 14-18. URL: https://www.consultant.ru/document/cons_doc_LAW_436110/15f0efd3c8311b53608abd85f9c02157e1457f55/ (дата обращения: 16.04.2026).</w:t>
      </w:r>
    </w:p>
  </w:footnote>
  <w:footnote w:id="106">
    <w:p>
      <w:pPr>
        <w:pStyle w:val="FootnoteText"/>
      </w:pPr>
      <w:r>
        <w:rPr>
          <w:rStyle w:val="FootnoteReference"/>
        </w:rPr>
        <w:footnoteRef/>
      </w:r>
      <w:r>
        <w:t xml:space="preserve"> </w:t>
      </w:r>
      <w:r>
        <w:t xml:space="preserve">Помощь и популярные вопросы // Единая биометрическая система. Разъяснения о том, как управлять биометрией, удалить ее и отозвать согласия через Госуслуги, а также о возможности подать отказ через МФЦ. URL: https://ebs.ru/faq/ (дата обращения: 16.04.2026).</w:t>
      </w:r>
    </w:p>
  </w:footnote>
  <w:footnote w:id="107">
    <w:p>
      <w:pPr>
        <w:pStyle w:val="FootnoteText"/>
      </w:pPr>
      <w:r>
        <w:rPr>
          <w:rStyle w:val="FootnoteReference"/>
        </w:rPr>
        <w:footnoteRef/>
      </w:r>
      <w:r>
        <w:t xml:space="preserve"> </w:t>
      </w:r>
      <w:r>
        <w:t xml:space="preserve">Единая биометрическая система: официальный сайт. Разделы о принципах работы, типах биометрии и доступных сервисах. URL: https://ebs.ru/ (дата обращения: 16.04.2026).</w:t>
      </w:r>
    </w:p>
  </w:footnote>
  <w:footnote w:id="108">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09">
    <w:p>
      <w:pPr>
        <w:pStyle w:val="FootnoteText"/>
      </w:pPr>
      <w:r>
        <w:rPr>
          <w:rStyle w:val="FootnoteReference"/>
        </w:rPr>
        <w:footnoteRef/>
      </w:r>
      <w:r>
        <w:t xml:space="preserve"> </w:t>
      </w:r>
      <w:r>
        <w:t xml:space="preserve">Постановление Правительства РФ от 07.08.2025 N 1183</w:t>
      </w:r>
      <w:r>
        <w:t xml:space="preserve"> </w:t>
      </w:r>
      <w:r>
        <w:t xml:space="preserve">“О внесении изменений в некоторые акты Правительства Российской Федерации”</w:t>
      </w:r>
      <w:r>
        <w:t xml:space="preserve">. URL: https://government.ru/docs/all/160478/; Постановление Правительства РФ от 15.06.2022 N 1067</w:t>
      </w:r>
      <w:r>
        <w:t xml:space="preserve"> </w:t>
      </w:r>
      <w:r>
        <w:t xml:space="preserve">“О случаях и сроках использования биометрических персональных данных, размещенных физическим лицом в единой биометрической системе с использованием мобильного приложения единой биометрической системы”</w:t>
      </w:r>
      <w:r>
        <w:t xml:space="preserve">. URL: https://government.ru/docs/all/141579/ (дата обращения: 16.04.2026).</w:t>
      </w:r>
    </w:p>
  </w:footnote>
  <w:footnote w:id="110">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11">
    <w:p>
      <w:pPr>
        <w:pStyle w:val="FootnoteText"/>
      </w:pPr>
      <w:r>
        <w:rPr>
          <w:rStyle w:val="FootnoteReference"/>
        </w:rPr>
        <w:footnoteRef/>
      </w:r>
      <w:r>
        <w:t xml:space="preserve"> </w:t>
      </w:r>
      <w:r>
        <w:t xml:space="preserve">Единая биометрическая система: официальный сайт. Разделы о принципах работы, типах биометрии и доступных сервисах. URL: https://ebs.ru/ (дата обращения: 16.04.2026).</w:t>
      </w:r>
    </w:p>
  </w:footnote>
  <w:footnote w:id="112">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13">
    <w:p>
      <w:pPr>
        <w:pStyle w:val="FootnoteText"/>
      </w:pPr>
      <w:r>
        <w:rPr>
          <w:rStyle w:val="FootnoteReference"/>
        </w:rPr>
        <w:footnoteRef/>
      </w:r>
      <w:r>
        <w:t xml:space="preserve"> </w:t>
      </w:r>
      <w:r>
        <w:t xml:space="preserve">Открытые API // Банк России. Последнее обновление страницы: 24.12.2025. URL: https://www.cbr.ru/fintech/api/ (дата обращения: 16.04.2026).</w:t>
      </w:r>
    </w:p>
  </w:footnote>
  <w:footnote w:id="114">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115">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16">
    <w:p>
      <w:pPr>
        <w:pStyle w:val="FootnoteText"/>
      </w:pPr>
      <w:r>
        <w:rPr>
          <w:rStyle w:val="FootnoteReference"/>
        </w:rPr>
        <w:footnoteRef/>
      </w:r>
      <w:r>
        <w:t xml:space="preserve"> </w:t>
      </w:r>
      <w:r>
        <w:t xml:space="preserve">Федеральный закон от 29.12.2022 N 572-ФЗ. Ст. 15, ч. 1-3. URL: https://www.consultant.ru/document/cons_doc_LAW_436110/b599780118c89e6e1fba4fb8a98aa3e77fb72fcc/ (дата обращения: 16.04.2026).</w:t>
      </w:r>
    </w:p>
  </w:footnote>
  <w:footnote w:id="117">
    <w:p>
      <w:pPr>
        <w:pStyle w:val="FootnoteText"/>
      </w:pPr>
      <w:r>
        <w:rPr>
          <w:rStyle w:val="FootnoteReference"/>
        </w:rPr>
        <w:footnoteRef/>
      </w:r>
      <w:r>
        <w:t xml:space="preserve"> </w:t>
      </w:r>
      <w:r>
        <w:t xml:space="preserve">Открытые API // Банк России. Последнее обновление страницы: 24.12.2025. URL: https://www.cbr.ru/fintech/api/ (дата обращения: 16.04.2026).</w:t>
      </w:r>
    </w:p>
  </w:footnote>
  <w:footnote w:id="118">
    <w:p>
      <w:pPr>
        <w:pStyle w:val="FootnoteText"/>
      </w:pPr>
      <w:r>
        <w:rPr>
          <w:rStyle w:val="FootnoteReference"/>
        </w:rPr>
        <w:footnoteRef/>
      </w:r>
      <w:r>
        <w:t xml:space="preserve"> </w:t>
      </w:r>
      <w:r>
        <w:t xml:space="preserve">Помощь и популярные вопросы // Единая биометрическая система. Разъяснения о том, как управлять биометрией, удалить ее и отозвать согласия через Госуслуги, а также о возможности подать отказ через МФЦ. URL: https://ebs.ru/faq/ (дата обращения: 16.04.2026).</w:t>
      </w:r>
    </w:p>
  </w:footnote>
  <w:footnote w:id="120">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Официальное опубликование: N 0001202105280003. URL: https://publication.pravo.gov.ru/Document/View/0001202105280003; дублирующий текст акта: https://www.consultant.ru/document/cons_doc_LAW_385041/ (дата обращения: 16.04.2026).</w:t>
      </w:r>
    </w:p>
  </w:footnote>
  <w:footnote w:id="121">
    <w:p>
      <w:pPr>
        <w:pStyle w:val="FootnoteText"/>
      </w:pPr>
      <w:r>
        <w:rPr>
          <w:rStyle w:val="FootnoteReference"/>
        </w:rPr>
        <w:footnoteRef/>
      </w:r>
      <w:r>
        <w:t xml:space="preserve"> </w:t>
      </w:r>
      <w:r>
        <w:t xml:space="preserve">Определение Конституционного Суда РФ от 28.09.2023 N 2201-О</w:t>
      </w:r>
      <w:r>
        <w:t xml:space="preserve"> </w:t>
      </w:r>
      <w:r>
        <w:t xml:space="preserve">“Об отказе в принятии к рассмотрению жалобы гражданина Галицкого Дениса Григорьевича на нарушение его конституционных прав частью 1 статьи 9 Федерального закона «О персональных данных»”</w:t>
      </w:r>
      <w:r>
        <w:t xml:space="preserve">. URL: https://normativ.kontur.ru/document?documentId=459245&amp;moduleId=7 (дата обращения: 16.04.2026).</w:t>
      </w:r>
    </w:p>
  </w:footnote>
  <w:footnote w:id="122">
    <w:p>
      <w:pPr>
        <w:pStyle w:val="FootnoteText"/>
      </w:pPr>
      <w:r>
        <w:rPr>
          <w:rStyle w:val="FootnoteReference"/>
        </w:rPr>
        <w:footnoteRef/>
      </w:r>
      <w:r>
        <w:t xml:space="preserve"> </w:t>
      </w:r>
      <w:r>
        <w:t xml:space="preserve">Use of facial-recognition technology breached rights of Moscow underground protestor: press release on the judgment in</w:t>
      </w:r>
      <w:r>
        <w:t xml:space="preserve"> </w:t>
      </w:r>
      <w:r>
        <w:rPr>
          <w:i/>
          <w:iCs/>
        </w:rPr>
        <w:t xml:space="preserve">Glukhin v. Russia</w:t>
      </w:r>
      <w:r>
        <w:t xml:space="preserve"> </w:t>
      </w:r>
      <w:r>
        <w:t xml:space="preserve">(application no. 11519/20), European Court of Human Rights, 04.07.2023. URL: https://hudoc.echr.coe.int/app/conversion/pdf/?filename=Judgment+Glukhin+v.+Russia+-+use+of+facial-recognition+technology+against+Moscow+underground+protestor.pdf&amp;id=003-7694109-10618091&amp;library=ECHR (дата обращения: 16.04.2026).</w:t>
      </w:r>
    </w:p>
  </w:footnote>
  <w:footnote w:id="123">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Официальное опубликование: N 0001202105280003. URL: https://publication.pravo.gov.ru/Document/View/0001202105280003; дублирующий текст акта: https://www.consultant.ru/document/cons_doc_LAW_385041/ (дата обращения: 16.04.2026).</w:t>
      </w:r>
    </w:p>
  </w:footnote>
  <w:footnote w:id="124">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Официальное опубликование: N 0001202105280003. URL: https://publication.pravo.gov.ru/Document/View/0001202105280003; дублирующий текст акта: https://www.consultant.ru/document/cons_doc_LAW_385041/ (дата обращения: 16.04.2026).</w:t>
      </w:r>
    </w:p>
  </w:footnote>
  <w:footnote w:id="125">
    <w:p>
      <w:pPr>
        <w:pStyle w:val="FootnoteText"/>
      </w:pPr>
      <w:r>
        <w:rPr>
          <w:rStyle w:val="FootnoteReference"/>
        </w:rPr>
        <w:footnoteRef/>
      </w:r>
      <w:r>
        <w:t xml:space="preserve"> </w:t>
      </w:r>
      <w:r>
        <w:t xml:space="preserve">Определение Конституционного Суда РФ от 28.09.2023 N 2201-О</w:t>
      </w:r>
      <w:r>
        <w:t xml:space="preserve"> </w:t>
      </w:r>
      <w:r>
        <w:t xml:space="preserve">“Об отказе в принятии к рассмотрению жалобы гражданина Галицкого Дениса Григорьевича на нарушение его конституционных прав частью 1 статьи 9 Федерального закона «О персональных данных»”</w:t>
      </w:r>
      <w:r>
        <w:t xml:space="preserve">. URL: https://normativ.kontur.ru/document?documentId=459245&amp;moduleId=7 (дата обращения: 16.04.2026).</w:t>
      </w:r>
    </w:p>
  </w:footnote>
  <w:footnote w:id="126">
    <w:p>
      <w:pPr>
        <w:pStyle w:val="FootnoteText"/>
      </w:pPr>
      <w:r>
        <w:rPr>
          <w:rStyle w:val="FootnoteReference"/>
        </w:rPr>
        <w:footnoteRef/>
      </w:r>
      <w:r>
        <w:t xml:space="preserve"> </w:t>
      </w:r>
      <w:r>
        <w:t xml:space="preserve">Федеральный закон от 27.07.2006 N 152-ФЗ</w:t>
      </w:r>
      <w:r>
        <w:t xml:space="preserve"> </w:t>
      </w:r>
      <w:r>
        <w:t xml:space="preserve">“О персональных данных”</w:t>
      </w:r>
      <w:r>
        <w:t xml:space="preserve">. Ст. 9 (в ред. от 24.06.2025). URL: https://www.consultant.ru/document/cons_doc_LAW_61801/6c94959bc017ac80140621762d2ac59f6006b08c/ (дата обращения: 16.04.2026).</w:t>
      </w:r>
    </w:p>
  </w:footnote>
  <w:footnote w:id="127">
    <w:p>
      <w:pPr>
        <w:pStyle w:val="FootnoteText"/>
      </w:pPr>
      <w:r>
        <w:rPr>
          <w:rStyle w:val="FootnoteReference"/>
        </w:rPr>
        <w:footnoteRef/>
      </w:r>
      <w:r>
        <w:t xml:space="preserve"> </w:t>
      </w:r>
      <w:r>
        <w:t xml:space="preserve">Определение Конституционного Суда РФ от 28.09.2023 N 2201-О</w:t>
      </w:r>
      <w:r>
        <w:t xml:space="preserve"> </w:t>
      </w:r>
      <w:r>
        <w:t xml:space="preserve">“Об отказе в принятии к рассмотрению жалобы гражданина Галицкого Дениса Григорьевича на нарушение его конституционных прав частью 1 статьи 9 Федерального закона «О персональных данных»”</w:t>
      </w:r>
      <w:r>
        <w:t xml:space="preserve">. URL: https://normativ.kontur.ru/document?documentId=459245&amp;moduleId=7 (дата обращения: 16.04.2026).</w:t>
      </w:r>
    </w:p>
  </w:footnote>
  <w:footnote w:id="128">
    <w:p>
      <w:pPr>
        <w:pStyle w:val="FootnoteText"/>
      </w:pPr>
      <w:r>
        <w:rPr>
          <w:rStyle w:val="FootnoteReference"/>
        </w:rPr>
        <w:footnoteRef/>
      </w:r>
      <w:r>
        <w:t xml:space="preserve"> </w:t>
      </w:r>
      <w:r>
        <w:t xml:space="preserve">Use of facial-recognition technology breached rights of Moscow underground protestor: press release on the judgment in</w:t>
      </w:r>
      <w:r>
        <w:t xml:space="preserve"> </w:t>
      </w:r>
      <w:r>
        <w:rPr>
          <w:i/>
          <w:iCs/>
        </w:rPr>
        <w:t xml:space="preserve">Glukhin v. Russia</w:t>
      </w:r>
      <w:r>
        <w:t xml:space="preserve"> </w:t>
      </w:r>
      <w:r>
        <w:t xml:space="preserve">(application no. 11519/20), European Court of Human Rights, 04.07.2023. URL: https://hudoc.echr.coe.int/app/conversion/pdf/?filename=Judgment+Glukhin+v.+Russia+-+use+of+facial-recognition+technology+against+Moscow+underground+protestor.pdf&amp;id=003-7694109-10618091&amp;library=ECHR (дата обращения: 16.04.2026).</w:t>
      </w:r>
    </w:p>
  </w:footnote>
  <w:footnote w:id="129">
    <w:p>
      <w:pPr>
        <w:pStyle w:val="FootnoteText"/>
      </w:pPr>
      <w:r>
        <w:rPr>
          <w:rStyle w:val="FootnoteReference"/>
        </w:rPr>
        <w:footnoteRef/>
      </w:r>
      <w:r>
        <w:t xml:space="preserve"> </w:t>
      </w:r>
      <w:r>
        <w:t xml:space="preserve">Use of facial-recognition technology breached rights of Moscow underground protestor: press release on the judgment in</w:t>
      </w:r>
      <w:r>
        <w:t xml:space="preserve"> </w:t>
      </w:r>
      <w:r>
        <w:rPr>
          <w:i/>
          <w:iCs/>
        </w:rPr>
        <w:t xml:space="preserve">Glukhin v. Russia</w:t>
      </w:r>
      <w:r>
        <w:t xml:space="preserve"> </w:t>
      </w:r>
      <w:r>
        <w:t xml:space="preserve">(application no. 11519/20), European Court of Human Rights, 04.07.2023. URL: https://hudoc.echr.coe.int/app/conversion/pdf/?filename=Judgment+Glukhin+v.+Russia+-+use+of+facial-recognition+technology+against+Moscow+underground+protestor.pdf&amp;id=003-7694109-10618091&amp;library=ECHR (дата обращения: 16.04.2026).</w:t>
      </w:r>
    </w:p>
  </w:footnote>
  <w:footnote w:id="130">
    <w:p>
      <w:pPr>
        <w:pStyle w:val="FootnoteText"/>
      </w:pPr>
      <w:r>
        <w:rPr>
          <w:rStyle w:val="FootnoteReference"/>
        </w:rPr>
        <w:footnoteRef/>
      </w:r>
      <w:r>
        <w:t xml:space="preserve"> </w:t>
      </w:r>
      <w:r>
        <w:t xml:space="preserve">Обзор операций, совершенных без добровольного согласия клиентов финансовых организаций, за 2025 год // Банк России. URL: https://www.cbr.ru/analytics/ib/operations_survey/2025/ (дата обращения: 16.04.2026).</w:t>
      </w:r>
    </w:p>
  </w:footnote>
  <w:footnote w:id="131">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132">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133">
    <w:p>
      <w:pPr>
        <w:pStyle w:val="FootnoteText"/>
      </w:pPr>
      <w:r>
        <w:rPr>
          <w:rStyle w:val="FootnoteReference"/>
        </w:rPr>
        <w:footnoteRef/>
      </w:r>
      <w:r>
        <w:t xml:space="preserve"> </w:t>
      </w:r>
      <w:r>
        <w:t xml:space="preserve">Единая биометрическая система: официальный сайт. Разделы о принципах работы, типах биометрии и доступных сервисах. URL: https://ebs.ru/ (дата обращения: 16.04.2026).</w:t>
      </w:r>
    </w:p>
  </w:footnote>
  <w:footnote w:id="134">
    <w:p>
      <w:pPr>
        <w:pStyle w:val="FootnoteText"/>
      </w:pPr>
      <w:r>
        <w:rPr>
          <w:rStyle w:val="FootnoteReference"/>
        </w:rPr>
        <w:footnoteRef/>
      </w:r>
      <w:r>
        <w:t xml:space="preserve"> </w:t>
      </w:r>
      <w:r>
        <w:t xml:space="preserve">Помощь и популярные вопросы // Единая биометрическая система. Разъяснения о том, как управлять биометрией, удалить ее и отозвать согласия через Госуслуги, а также о возможности подать отказ через МФЦ. URL: https://ebs.ru/faq/ (дата обращения: 16.04.2026).</w:t>
      </w:r>
    </w:p>
  </w:footnote>
  <w:footnote w:id="135">
    <w:p>
      <w:pPr>
        <w:pStyle w:val="FootnoteText"/>
      </w:pPr>
      <w:r>
        <w:rPr>
          <w:rStyle w:val="FootnoteReference"/>
        </w:rPr>
        <w:footnoteRef/>
      </w:r>
      <w:r>
        <w:t xml:space="preserve"> </w:t>
      </w:r>
      <w:r>
        <w:t xml:space="preserve">Единая биометрическая система: официальный сайт. Разделы о принципах работы, типах биометрии и доступных сервисах. URL: https://ebs.ru/ (дата обращения: 16.04.2026).</w:t>
      </w:r>
    </w:p>
  </w:footnote>
  <w:footnote w:id="136">
    <w:p>
      <w:pPr>
        <w:pStyle w:val="FootnoteText"/>
      </w:pPr>
      <w:r>
        <w:rPr>
          <w:rStyle w:val="FootnoteReference"/>
        </w:rPr>
        <w:footnoteRef/>
      </w:r>
      <w:r>
        <w:t xml:space="preserve"> </w:t>
      </w:r>
      <w:r>
        <w:t xml:space="preserve">Открытые API // Банк России. Последнее обновление страницы: 24.12.2025. URL: https://www.cbr.ru/fintech/api/ (дата обращения: 16.04.2026).</w:t>
      </w:r>
    </w:p>
  </w:footnote>
  <w:footnote w:id="137">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38">
    <w:p>
      <w:pPr>
        <w:pStyle w:val="FootnoteText"/>
      </w:pPr>
      <w:r>
        <w:rPr>
          <w:rStyle w:val="FootnoteReference"/>
        </w:rPr>
        <w:footnoteRef/>
      </w:r>
      <w:r>
        <w:t xml:space="preserve"> </w:t>
      </w:r>
      <w:r>
        <w:t xml:space="preserve">Постановление Конституционного Суда РФ от 25.05.2021 N 22-П</w:t>
      </w:r>
      <w:r>
        <w:t xml:space="preserve"> </w:t>
      </w:r>
      <w:r>
        <w:t xml:space="preserve">“По делу о проверке конституционности пункта 8 части 1 статьи 6 Федерального закона «О персональных данных» в связи с жалобой общества с ограниченной ответственностью «МедРейтинг»”</w:t>
      </w:r>
      <w:r>
        <w:t xml:space="preserve">. Официальное опубликование: N 0001202105280003. URL: https://publication.pravo.gov.ru/Document/View/0001202105280003; дублирующий текст акта: https://www.consultant.ru/document/cons_doc_LAW_385041/ (дата обращения: 16.04.2026).</w:t>
      </w:r>
    </w:p>
  </w:footnote>
  <w:footnote w:id="139">
    <w:p>
      <w:pPr>
        <w:pStyle w:val="FootnoteText"/>
      </w:pPr>
      <w:r>
        <w:rPr>
          <w:rStyle w:val="FootnoteReference"/>
        </w:rPr>
        <w:footnoteRef/>
      </w:r>
      <w:r>
        <w:t xml:space="preserve"> </w:t>
      </w:r>
      <w:r>
        <w:t xml:space="preserve">Определение Конституционного Суда РФ от 28.09.2023 N 2201-О</w:t>
      </w:r>
      <w:r>
        <w:t xml:space="preserve"> </w:t>
      </w:r>
      <w:r>
        <w:t xml:space="preserve">“Об отказе в принятии к рассмотрению жалобы гражданина Галицкого Дениса Григорьевича на нарушение его конституционных прав частью 1 статьи 9 Федерального закона «О персональных данных»”</w:t>
      </w:r>
      <w:r>
        <w:t xml:space="preserve">. URL: https://normativ.kontur.ru/document?documentId=459245&amp;moduleId=7 (дата обращения: 16.04.2026).</w:t>
      </w:r>
    </w:p>
  </w:footnote>
  <w:footnote w:id="140">
    <w:p>
      <w:pPr>
        <w:pStyle w:val="FootnoteText"/>
      </w:pPr>
      <w:r>
        <w:rPr>
          <w:rStyle w:val="FootnoteReference"/>
        </w:rPr>
        <w:footnoteRef/>
      </w:r>
      <w:r>
        <w:t xml:space="preserve"> </w:t>
      </w:r>
      <w:r>
        <w:t xml:space="preserve">Use of facial-recognition technology breached rights of Moscow underground protestor: press release on the judgment in</w:t>
      </w:r>
      <w:r>
        <w:t xml:space="preserve"> </w:t>
      </w:r>
      <w:r>
        <w:rPr>
          <w:i/>
          <w:iCs/>
        </w:rPr>
        <w:t xml:space="preserve">Glukhin v. Russia</w:t>
      </w:r>
      <w:r>
        <w:t xml:space="preserve"> </w:t>
      </w:r>
      <w:r>
        <w:t xml:space="preserve">(application no. 11519/20), European Court of Human Rights, 04.07.2023. URL: https://hudoc.echr.coe.int/app/conversion/pdf/?filename=Judgment+Glukhin+v.+Russia+-+use+of+facial-recognition+technology+against+Moscow+underground+protestor.pdf&amp;id=003-7694109-10618091&amp;library=ECHR (дата обращения: 16.04.2026).</w:t>
      </w:r>
    </w:p>
  </w:footnote>
  <w:footnote w:id="141">
    <w:p>
      <w:pPr>
        <w:pStyle w:val="FootnoteText"/>
      </w:pPr>
      <w:r>
        <w:rPr>
          <w:rStyle w:val="FootnoteReference"/>
        </w:rPr>
        <w:footnoteRef/>
      </w:r>
      <w:r>
        <w:t xml:space="preserve"> </w:t>
      </w:r>
      <w:r>
        <w:t xml:space="preserve">Тенденции на рынке МФО за 2025 год // Банк России. URL: https://cbr.ru/analytics/microfinance/mfo/2025_4/ (дата обращения: 16.04.2026).</w:t>
      </w:r>
    </w:p>
  </w:footnote>
  <w:footnote w:id="142">
    <w:p>
      <w:pPr>
        <w:pStyle w:val="FootnoteText"/>
      </w:pPr>
      <w:r>
        <w:rPr>
          <w:rStyle w:val="FootnoteReference"/>
        </w:rPr>
        <w:footnoteRef/>
      </w:r>
      <w:r>
        <w:t xml:space="preserve"> </w:t>
      </w:r>
      <w:r>
        <w:t xml:space="preserve">Обзор операций, совершенных без добровольного согласия клиентов финансовых организаций, за 2025 год // Банк России. URL: https://www.cbr.ru/analytics/ib/operations_survey/2025/ (дата обращения: 16.04.2026).</w:t>
      </w:r>
    </w:p>
  </w:footnote>
  <w:footnote w:id="143">
    <w:p>
      <w:pPr>
        <w:pStyle w:val="FootnoteText"/>
      </w:pPr>
      <w:r>
        <w:rPr>
          <w:rStyle w:val="FootnoteReference"/>
        </w:rPr>
        <w:footnoteRef/>
      </w:r>
      <w:r>
        <w:t xml:space="preserve"> </w:t>
      </w:r>
      <w:r>
        <w:t xml:space="preserve">Итоги работы Банка России 2025: коротко о главном. Развитие технологий и поддержка инноваций // Банк России. Последнее обновление страницы: 20.03.2026. URL: https://www.cbr.ru/about_br/publ/results_work/2025/razvitie-tekhnologiy-i-podderzhka-innovaciy/ (дата обращения: 16.04.2026).</w:t>
      </w:r>
    </w:p>
  </w:footnote>
  <w:footnote w:id="144">
    <w:p>
      <w:pPr>
        <w:pStyle w:val="FootnoteText"/>
      </w:pPr>
      <w:r>
        <w:rPr>
          <w:rStyle w:val="FootnoteReference"/>
        </w:rPr>
        <w:footnoteRef/>
      </w:r>
      <w:r>
        <w:t xml:space="preserve"> </w:t>
      </w:r>
      <w:r>
        <w:t xml:space="preserve">Открытые API // Банк России. Последнее обновление страницы: 24.12.2025. URL: https://www.cbr.ru/fintech/api/ (дата обращения: 16.04.2026).</w:t>
      </w:r>
    </w:p>
  </w:footnote>
  <w:footnote w:id="145">
    <w:p>
      <w:pPr>
        <w:pStyle w:val="FootnoteText"/>
      </w:pPr>
      <w:r>
        <w:rPr>
          <w:rStyle w:val="FootnoteReference"/>
        </w:rPr>
        <w:footnoteRef/>
      </w:r>
      <w:r>
        <w:t xml:space="preserve"> </w:t>
      </w:r>
      <w:r>
        <w:t xml:space="preserve">Единая биометрическая система: официальный сайт. Разделы о принципах работы, типах биометрии и доступных сервисах. URL: https://ebs.ru/ (дата обращения: 16.04.2026).</w:t>
      </w:r>
    </w:p>
  </w:footnote>
  <w:footnote w:id="146">
    <w:p>
      <w:pPr>
        <w:pStyle w:val="FootnoteText"/>
      </w:pPr>
      <w:r>
        <w:rPr>
          <w:rStyle w:val="FootnoteReference"/>
        </w:rPr>
        <w:footnoteRef/>
      </w:r>
      <w:r>
        <w:t xml:space="preserve"> </w:t>
      </w:r>
      <w:r>
        <w:t xml:space="preserve">Помощь и популярные вопросы // Единая биометрическая система. Разъяснения о том, как управлять биометрией, удалить ее и отозвать согласия через Госуслуги, а также о возможности подать отказ через МФЦ. URL: https://ebs.ru/faq/ (дата обращения: 16.04.2026).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Users/albina/&#1076;&#1080;&#1087;&#1083;&#1086;&#1084;&#1085;&#1072;&#1103;/chapters/00-introduction-framework.md" TargetMode="External" /><Relationship Type="http://schemas.openxmlformats.org/officeDocument/2006/relationships/hyperlink" Id="rId154" Target="/Users/albina/&#1076;&#1080;&#1087;&#1083;&#1086;&#1084;&#1085;&#1072;&#1103;/sources/01-base-topic-framework.md" TargetMode="External" /><Relationship Type="http://schemas.openxmlformats.org/officeDocument/2006/relationships/hyperlink" Id="rId155" Target="/Users/albina/&#1080;&#1089;&#1090;&#1086;&#1095;&#1085;&#1080;&#1082;&#1080;/SOURCES.md" TargetMode="External" /></Relationships>
</file>

<file path=word/_rels/footnotes.xml.rels><?xml version="1.0" encoding="UTF-8"?><Relationships xmlns="http://schemas.openxmlformats.org/package/2006/relationships"><Relationship Type="http://schemas.openxmlformats.org/officeDocument/2006/relationships/hyperlink" Id="rId10" Target="/Users/albina/&#1076;&#1080;&#1087;&#1083;&#1086;&#1084;&#1085;&#1072;&#1103;/chapters/00-introduction-framework.md" TargetMode="External" /><Relationship Type="http://schemas.openxmlformats.org/officeDocument/2006/relationships/hyperlink" Id="rId154" Target="/Users/albina/&#1076;&#1080;&#1087;&#1083;&#1086;&#1084;&#1085;&#1072;&#1103;/sources/01-base-topic-framework.md" TargetMode="External" /><Relationship Type="http://schemas.openxmlformats.org/officeDocument/2006/relationships/hyperlink" Id="rId155" Target="/Users/albina/&#1080;&#1089;&#1090;&#1086;&#1095;&#1085;&#1080;&#1082;&#1080;/SOURC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2026-04-16T13:47:06Z</dcterms:created>
  <dcterms:modified xsi:type="dcterms:W3CDTF">2026-04-16T13:47:06Z</dcterms:modified>
</cp:coreProperties>
</file>

<file path=docProps/custom.xml><?xml version="1.0" encoding="utf-8"?>
<Properties xmlns="http://schemas.openxmlformats.org/officeDocument/2006/custom-properties" xmlns:vt="http://schemas.openxmlformats.org/officeDocument/2006/docPropsVTypes"/>
</file>